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3D646CF5" w:rsidR="00FA20F7" w:rsidRPr="00624CB2"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FD131C">
        <w:rPr>
          <w:rFonts w:ascii="Arial" w:hAnsi="Arial" w:cs="Arial"/>
        </w:rPr>
        <w:t>6</w:t>
      </w:r>
      <w:r w:rsidR="00FA20F7" w:rsidRPr="00624CB2">
        <w:rPr>
          <w:rFonts w:ascii="Arial" w:hAnsi="Arial" w:cs="Arial"/>
        </w:rPr>
        <w:tab/>
      </w:r>
      <w:r w:rsidR="00834D9A">
        <w:rPr>
          <w:rFonts w:ascii="Arial" w:hAnsi="Arial" w:cs="Arial"/>
          <w:szCs w:val="24"/>
        </w:rPr>
        <w:t>R1-167589</w:t>
      </w:r>
    </w:p>
    <w:p w14:paraId="165195B1" w14:textId="1627BDD5" w:rsidR="00317B85" w:rsidRPr="00624CB2" w:rsidRDefault="00FD131C" w:rsidP="00326846">
      <w:pPr>
        <w:pStyle w:val="3GPPHeader"/>
        <w:jc w:val="both"/>
        <w:rPr>
          <w:rFonts w:ascii="Arial" w:hAnsi="Arial" w:cs="Arial"/>
        </w:rPr>
      </w:pPr>
      <w:r>
        <w:rPr>
          <w:rFonts w:ascii="Arial" w:hAnsi="Arial" w:cs="Arial"/>
        </w:rPr>
        <w:t>Gothenburg, Sweden, 22</w:t>
      </w:r>
      <w:r w:rsidRPr="00FD131C">
        <w:rPr>
          <w:rFonts w:ascii="Arial" w:hAnsi="Arial" w:cs="Arial"/>
          <w:vertAlign w:val="superscript"/>
        </w:rPr>
        <w:t>nd</w:t>
      </w:r>
      <w:r>
        <w:rPr>
          <w:rFonts w:ascii="Arial" w:hAnsi="Arial" w:cs="Arial"/>
        </w:rPr>
        <w:t xml:space="preserve"> – 26</w:t>
      </w:r>
      <w:r w:rsidRPr="00FD131C">
        <w:rPr>
          <w:rFonts w:ascii="Arial" w:hAnsi="Arial" w:cs="Arial"/>
          <w:vertAlign w:val="superscript"/>
        </w:rPr>
        <w:t>th</w:t>
      </w:r>
      <w:r>
        <w:rPr>
          <w:rFonts w:ascii="Arial" w:hAnsi="Arial" w:cs="Arial"/>
        </w:rPr>
        <w:t xml:space="preserve"> August 2016</w:t>
      </w:r>
    </w:p>
    <w:p w14:paraId="6FA141D4" w14:textId="0980D555"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E455F4">
        <w:rPr>
          <w:rFonts w:cs="Arial"/>
          <w:b/>
          <w:bCs/>
          <w:sz w:val="24"/>
          <w:lang w:val="en-US"/>
        </w:rPr>
        <w:t>7.2.2.4.1</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40B12D50"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944281">
        <w:rPr>
          <w:rFonts w:ascii="Arial" w:hAnsi="Arial" w:cs="Arial"/>
          <w:b/>
          <w:bCs/>
          <w:sz w:val="24"/>
        </w:rPr>
        <w:t xml:space="preserve">DCI </w:t>
      </w:r>
      <w:r w:rsidR="00104DA4">
        <w:rPr>
          <w:rFonts w:ascii="Arial" w:hAnsi="Arial" w:cs="Arial"/>
          <w:b/>
          <w:bCs/>
          <w:sz w:val="24"/>
        </w:rPr>
        <w:t xml:space="preserve">contents </w:t>
      </w:r>
      <w:r w:rsidR="00944281">
        <w:rPr>
          <w:rFonts w:ascii="Arial" w:hAnsi="Arial" w:cs="Arial"/>
          <w:b/>
          <w:bCs/>
          <w:sz w:val="24"/>
        </w:rPr>
        <w:t xml:space="preserve">for SPS and </w:t>
      </w:r>
      <w:r w:rsidR="00104DA4">
        <w:rPr>
          <w:rFonts w:ascii="Arial" w:hAnsi="Arial" w:cs="Arial"/>
          <w:b/>
          <w:bCs/>
          <w:sz w:val="24"/>
        </w:rPr>
        <w:t>r</w:t>
      </w:r>
      <w:r w:rsidR="00944281">
        <w:rPr>
          <w:rFonts w:ascii="Arial" w:hAnsi="Arial" w:cs="Arial"/>
          <w:b/>
          <w:bCs/>
          <w:sz w:val="24"/>
        </w:rPr>
        <w:t>esource allocation in Mode 1</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3453BFDF" w14:textId="56A7AA9F" w:rsidR="00866B2D" w:rsidRDefault="006B5694" w:rsidP="006B5694">
      <w:pPr>
        <w:spacing w:after="240"/>
        <w:jc w:val="both"/>
        <w:rPr>
          <w:rFonts w:ascii="Arial" w:hAnsi="Arial" w:cs="Arial"/>
          <w:sz w:val="20"/>
        </w:rPr>
      </w:pPr>
      <w:r>
        <w:rPr>
          <w:rFonts w:ascii="Arial" w:hAnsi="Arial" w:cs="Arial"/>
          <w:sz w:val="20"/>
        </w:rPr>
        <w:t>In RAN1-84bis the following agreement and working assumption were made for SPS,</w:t>
      </w:r>
    </w:p>
    <w:p w14:paraId="08F558AB" w14:textId="77777777" w:rsidR="006B5694" w:rsidRPr="006B5694" w:rsidRDefault="006B5694" w:rsidP="006B5694">
      <w:pPr>
        <w:spacing w:after="180" w:line="240" w:lineRule="auto"/>
        <w:rPr>
          <w:rFonts w:ascii="Times New Roman" w:eastAsia="MS Mincho" w:hAnsi="Times New Roman" w:cs="Times New Roman"/>
          <w:i/>
          <w:sz w:val="20"/>
          <w:szCs w:val="20"/>
          <w:lang w:val="en-GB" w:eastAsia="ja-JP"/>
        </w:rPr>
      </w:pPr>
      <w:r w:rsidRPr="006B5694">
        <w:rPr>
          <w:rFonts w:ascii="Times New Roman" w:eastAsia="MS Mincho" w:hAnsi="Times New Roman" w:cs="Times New Roman"/>
          <w:i/>
          <w:sz w:val="20"/>
          <w:szCs w:val="20"/>
          <w:highlight w:val="green"/>
          <w:lang w:eastAsia="ja-JP"/>
        </w:rPr>
        <w:t>Agreement:</w:t>
      </w:r>
    </w:p>
    <w:p w14:paraId="475758B6" w14:textId="77777777" w:rsidR="006B5694" w:rsidRPr="006B5694" w:rsidRDefault="006B5694" w:rsidP="006B5694">
      <w:pPr>
        <w:numPr>
          <w:ilvl w:val="0"/>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For SPS of V2V traffic for mode-1 SPS on PC5:</w:t>
      </w:r>
    </w:p>
    <w:p w14:paraId="7CF3079E" w14:textId="77777777" w:rsidR="006B5694" w:rsidRPr="006B5694" w:rsidRDefault="006B5694" w:rsidP="006B5694">
      <w:pPr>
        <w:numPr>
          <w:ilvl w:val="1"/>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The eNB may configure multiple SPS configurations for a given UE</w:t>
      </w:r>
    </w:p>
    <w:p w14:paraId="12783FDF" w14:textId="77777777" w:rsidR="006B5694" w:rsidRPr="006B5694" w:rsidRDefault="006B5694" w:rsidP="006B5694">
      <w:pPr>
        <w:numPr>
          <w:ilvl w:val="2"/>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At least SPS-configuration-specific MCS (if MCS is part of the SPS-configuration) and SPS-configuration-specific periodicity can be configured</w:t>
      </w:r>
    </w:p>
    <w:p w14:paraId="2A371113" w14:textId="77777777" w:rsidR="006B5694" w:rsidRPr="006B5694" w:rsidRDefault="006B5694" w:rsidP="006B5694">
      <w:pPr>
        <w:numPr>
          <w:ilvl w:val="3"/>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FFS if/which other SPS parameters can differ across the SPS-configurations</w:t>
      </w:r>
    </w:p>
    <w:p w14:paraId="1D96CF2F" w14:textId="77777777" w:rsidR="006B5694" w:rsidRPr="006B5694" w:rsidRDefault="006B5694" w:rsidP="006B5694">
      <w:pPr>
        <w:numPr>
          <w:ilvl w:val="2"/>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The eNB can dynamically trigger/release the different SPS-configurations by use of (E)PDCCH</w:t>
      </w:r>
    </w:p>
    <w:p w14:paraId="3D970A47" w14:textId="77777777" w:rsidR="006B5694" w:rsidRPr="006B5694" w:rsidRDefault="006B5694" w:rsidP="006B5694">
      <w:pPr>
        <w:numPr>
          <w:ilvl w:val="3"/>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Details of the trigger/release are FFS</w:t>
      </w:r>
    </w:p>
    <w:p w14:paraId="66721537" w14:textId="77777777" w:rsidR="006B5694" w:rsidRPr="006B5694" w:rsidRDefault="006B5694" w:rsidP="006B5694">
      <w:pPr>
        <w:numPr>
          <w:ilvl w:val="1"/>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highlight w:val="darkYellow"/>
          <w:lang w:eastAsia="ja-JP"/>
        </w:rPr>
        <w:t>Working assumption</w:t>
      </w:r>
      <w:r w:rsidRPr="006B5694">
        <w:rPr>
          <w:rFonts w:ascii="Times New Roman" w:eastAsia="MS Mincho" w:hAnsi="Times New Roman" w:cs="Times New Roman"/>
          <w:i/>
          <w:sz w:val="20"/>
          <w:szCs w:val="20"/>
          <w:lang w:eastAsia="ja-JP"/>
        </w:rPr>
        <w:t>: The UE can indicate to the eNB that it does not intend to transmit data before a transmission associated to an SPS configuration</w:t>
      </w:r>
    </w:p>
    <w:p w14:paraId="41A4CD80" w14:textId="77777777" w:rsidR="006B5694" w:rsidRPr="006B5694" w:rsidRDefault="006B5694" w:rsidP="006B5694">
      <w:pPr>
        <w:numPr>
          <w:ilvl w:val="2"/>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FFS any details of the signaling protocol</w:t>
      </w:r>
    </w:p>
    <w:p w14:paraId="6A6C7E44" w14:textId="77777777" w:rsidR="006B5694" w:rsidRPr="006B5694" w:rsidRDefault="006B5694" w:rsidP="006B5694">
      <w:pPr>
        <w:numPr>
          <w:ilvl w:val="2"/>
          <w:numId w:val="45"/>
        </w:numPr>
        <w:spacing w:after="0" w:line="240" w:lineRule="auto"/>
        <w:rPr>
          <w:rFonts w:ascii="Times New Roman" w:eastAsia="MS Mincho" w:hAnsi="Times New Roman" w:cs="Times New Roman"/>
          <w:i/>
          <w:sz w:val="20"/>
          <w:szCs w:val="20"/>
          <w:lang w:eastAsia="ja-JP"/>
        </w:rPr>
      </w:pPr>
      <w:r w:rsidRPr="006B5694">
        <w:rPr>
          <w:rFonts w:ascii="Times New Roman" w:eastAsia="MS Mincho" w:hAnsi="Times New Roman" w:cs="Times New Roman"/>
          <w:i/>
          <w:sz w:val="20"/>
          <w:szCs w:val="20"/>
          <w:lang w:eastAsia="ja-JP"/>
        </w:rPr>
        <w:t>FFS whether eNB acknowledgment of the UE indication is needed</w:t>
      </w:r>
    </w:p>
    <w:p w14:paraId="57DB2628" w14:textId="77777777" w:rsidR="00E20E3A" w:rsidRDefault="00E20E3A" w:rsidP="00E20E3A">
      <w:pPr>
        <w:spacing w:after="120"/>
        <w:jc w:val="both"/>
        <w:rPr>
          <w:rFonts w:ascii="Arial" w:hAnsi="Arial" w:cs="Arial"/>
          <w:sz w:val="20"/>
        </w:rPr>
      </w:pPr>
    </w:p>
    <w:p w14:paraId="10F002D4" w14:textId="77777777" w:rsidR="00E20E3A" w:rsidRDefault="00E20E3A" w:rsidP="00E20E3A">
      <w:pPr>
        <w:spacing w:after="120"/>
        <w:jc w:val="both"/>
        <w:rPr>
          <w:rFonts w:ascii="Arial" w:hAnsi="Arial" w:cs="Arial"/>
          <w:sz w:val="20"/>
        </w:rPr>
      </w:pPr>
      <w:r>
        <w:rPr>
          <w:rFonts w:ascii="Arial" w:hAnsi="Arial" w:cs="Arial"/>
          <w:sz w:val="20"/>
        </w:rPr>
        <w:t>In RAN1-85 it was agreed to support cross-carrier scheduling for sidelink SPS in Mode 1,</w:t>
      </w:r>
    </w:p>
    <w:p w14:paraId="62A92AD9" w14:textId="77777777" w:rsidR="00E20E3A" w:rsidRPr="006B5694" w:rsidRDefault="00E20E3A" w:rsidP="00E20E3A">
      <w:pPr>
        <w:rPr>
          <w:rFonts w:ascii="Times New Roman" w:eastAsia="MS Mincho" w:hAnsi="Times New Roman" w:cs="Times New Roman"/>
          <w:i/>
          <w:iCs/>
          <w:sz w:val="20"/>
          <w:szCs w:val="20"/>
          <w:lang w:eastAsia="ja-JP"/>
        </w:rPr>
      </w:pPr>
      <w:r w:rsidRPr="006B5694">
        <w:rPr>
          <w:rFonts w:ascii="Times New Roman" w:eastAsia="MS Mincho" w:hAnsi="Times New Roman"/>
          <w:i/>
          <w:iCs/>
          <w:sz w:val="20"/>
          <w:szCs w:val="20"/>
          <w:highlight w:val="green"/>
          <w:lang w:eastAsia="ja-JP"/>
        </w:rPr>
        <w:t>Agreements:</w:t>
      </w:r>
    </w:p>
    <w:p w14:paraId="0EDDAAA4" w14:textId="77777777" w:rsidR="00E20E3A" w:rsidRPr="006B5694" w:rsidRDefault="00E20E3A" w:rsidP="00E20E3A">
      <w:pPr>
        <w:pStyle w:val="LGTdoc"/>
        <w:numPr>
          <w:ilvl w:val="0"/>
          <w:numId w:val="46"/>
        </w:numPr>
        <w:spacing w:line="240" w:lineRule="atLeast"/>
        <w:rPr>
          <w:sz w:val="20"/>
          <w:szCs w:val="20"/>
          <w:lang w:val="en-US"/>
        </w:rPr>
      </w:pPr>
      <w:r w:rsidRPr="006B5694">
        <w:rPr>
          <w:sz w:val="20"/>
          <w:szCs w:val="20"/>
          <w:lang w:val="en-US"/>
        </w:rPr>
        <w:t>Support cross carrier scheduling for sidelink SPS and dynamic scheduling for V2V with mode-1</w:t>
      </w:r>
    </w:p>
    <w:p w14:paraId="68E806F4" w14:textId="77777777" w:rsidR="00E20E3A" w:rsidRPr="006B5694" w:rsidRDefault="00E20E3A" w:rsidP="00E20E3A">
      <w:pPr>
        <w:pStyle w:val="LGTdoc"/>
        <w:numPr>
          <w:ilvl w:val="1"/>
          <w:numId w:val="46"/>
        </w:numPr>
        <w:spacing w:line="240" w:lineRule="atLeast"/>
        <w:rPr>
          <w:sz w:val="20"/>
          <w:szCs w:val="20"/>
          <w:lang w:val="en-US"/>
        </w:rPr>
      </w:pPr>
      <w:r w:rsidRPr="006B5694">
        <w:rPr>
          <w:sz w:val="20"/>
          <w:szCs w:val="20"/>
          <w:lang w:val="en-US"/>
        </w:rPr>
        <w:t>PC5-based V2V design will support the multiple-operator scenario but not be optimized for it.</w:t>
      </w:r>
    </w:p>
    <w:p w14:paraId="285FB361" w14:textId="77777777" w:rsidR="00E20E3A" w:rsidRPr="006B5694" w:rsidRDefault="00E20E3A" w:rsidP="00E20E3A">
      <w:pPr>
        <w:pStyle w:val="LGTdoc"/>
        <w:numPr>
          <w:ilvl w:val="1"/>
          <w:numId w:val="46"/>
        </w:numPr>
        <w:spacing w:line="240" w:lineRule="atLeast"/>
        <w:rPr>
          <w:sz w:val="20"/>
          <w:szCs w:val="20"/>
          <w:lang w:val="en-US"/>
        </w:rPr>
      </w:pPr>
      <w:r w:rsidRPr="006B5694">
        <w:rPr>
          <w:sz w:val="20"/>
          <w:szCs w:val="20"/>
          <w:lang w:val="en-US"/>
        </w:rPr>
        <w:t>Details FFS, e.g.,</w:t>
      </w:r>
    </w:p>
    <w:p w14:paraId="7A7169ED" w14:textId="77777777" w:rsidR="00E20E3A" w:rsidRPr="006B5694" w:rsidRDefault="00E20E3A" w:rsidP="00E20E3A">
      <w:pPr>
        <w:pStyle w:val="LGTdoc"/>
        <w:numPr>
          <w:ilvl w:val="2"/>
          <w:numId w:val="46"/>
        </w:numPr>
        <w:spacing w:line="240" w:lineRule="atLeast"/>
        <w:rPr>
          <w:sz w:val="20"/>
          <w:szCs w:val="20"/>
          <w:lang w:val="en-US"/>
        </w:rPr>
      </w:pPr>
      <w:r w:rsidRPr="006B5694">
        <w:rPr>
          <w:sz w:val="20"/>
          <w:szCs w:val="20"/>
          <w:lang w:val="en-US"/>
        </w:rPr>
        <w:t>How to handle timing difference between eNB timing and PC5 timing, when it exists</w:t>
      </w:r>
    </w:p>
    <w:p w14:paraId="6BF99332" w14:textId="77777777" w:rsidR="00E20E3A" w:rsidRPr="006B5694" w:rsidRDefault="00E20E3A" w:rsidP="00E20E3A">
      <w:pPr>
        <w:pStyle w:val="LGTdoc"/>
        <w:numPr>
          <w:ilvl w:val="2"/>
          <w:numId w:val="46"/>
        </w:numPr>
        <w:spacing w:line="240" w:lineRule="atLeast"/>
        <w:rPr>
          <w:sz w:val="20"/>
          <w:szCs w:val="20"/>
          <w:lang w:val="en-US"/>
        </w:rPr>
      </w:pPr>
      <w:r w:rsidRPr="006B5694">
        <w:rPr>
          <w:sz w:val="20"/>
          <w:szCs w:val="20"/>
          <w:lang w:val="en-US"/>
        </w:rPr>
        <w:t>PC5 resource partitioning among multiple operators</w:t>
      </w:r>
    </w:p>
    <w:p w14:paraId="6090C6CB" w14:textId="77777777" w:rsidR="00E20E3A" w:rsidRPr="006B5694" w:rsidRDefault="00E20E3A" w:rsidP="00E20E3A">
      <w:pPr>
        <w:pStyle w:val="LGTdoc"/>
        <w:numPr>
          <w:ilvl w:val="3"/>
          <w:numId w:val="46"/>
        </w:numPr>
        <w:spacing w:line="240" w:lineRule="atLeast"/>
        <w:rPr>
          <w:sz w:val="20"/>
          <w:szCs w:val="20"/>
          <w:lang w:val="en-US"/>
        </w:rPr>
      </w:pPr>
      <w:r w:rsidRPr="006B5694">
        <w:rPr>
          <w:sz w:val="20"/>
          <w:szCs w:val="20"/>
          <w:lang w:val="en-US"/>
        </w:rPr>
        <w:t>Resource coordination across operators is out of 3GPP scope</w:t>
      </w:r>
    </w:p>
    <w:p w14:paraId="50A07BE6" w14:textId="77777777" w:rsidR="006B5694" w:rsidRDefault="006B5694" w:rsidP="006B5694">
      <w:pPr>
        <w:spacing w:after="120"/>
        <w:jc w:val="both"/>
        <w:rPr>
          <w:rFonts w:ascii="Arial" w:hAnsi="Arial" w:cs="Arial"/>
          <w:sz w:val="20"/>
        </w:rPr>
      </w:pPr>
    </w:p>
    <w:p w14:paraId="65F29D87" w14:textId="3A96C58B" w:rsidR="0046410C" w:rsidRDefault="005F0FA6" w:rsidP="003618AD">
      <w:pPr>
        <w:spacing w:after="240"/>
        <w:jc w:val="both"/>
        <w:rPr>
          <w:rFonts w:ascii="Arial" w:hAnsi="Arial" w:cs="Arial"/>
          <w:sz w:val="20"/>
        </w:rPr>
      </w:pPr>
      <w:r>
        <w:rPr>
          <w:rFonts w:ascii="Arial" w:hAnsi="Arial" w:cs="Arial"/>
          <w:sz w:val="20"/>
        </w:rPr>
        <w:t>In this contribution we discuss the contents of DL contro</w:t>
      </w:r>
      <w:r w:rsidR="00CC77D6">
        <w:rPr>
          <w:rFonts w:ascii="Arial" w:hAnsi="Arial" w:cs="Arial"/>
          <w:sz w:val="20"/>
        </w:rPr>
        <w:t xml:space="preserve">l information in Mode 1 (eNB scheduled) for the purpose of </w:t>
      </w:r>
      <w:r>
        <w:rPr>
          <w:rFonts w:ascii="Arial" w:hAnsi="Arial" w:cs="Arial"/>
          <w:sz w:val="20"/>
        </w:rPr>
        <w:t xml:space="preserve">resource allocation </w:t>
      </w:r>
      <w:r w:rsidR="00CC77D6">
        <w:rPr>
          <w:rFonts w:ascii="Arial" w:hAnsi="Arial" w:cs="Arial"/>
          <w:sz w:val="20"/>
        </w:rPr>
        <w:t>and to trigger/release</w:t>
      </w:r>
      <w:r>
        <w:rPr>
          <w:rFonts w:ascii="Arial" w:hAnsi="Arial" w:cs="Arial"/>
          <w:sz w:val="20"/>
        </w:rPr>
        <w:t xml:space="preserve"> different SPS configurations</w:t>
      </w:r>
      <w:r w:rsidR="00E20E3A">
        <w:rPr>
          <w:rFonts w:ascii="Arial" w:hAnsi="Arial" w:cs="Arial"/>
          <w:sz w:val="20"/>
        </w:rPr>
        <w:t>.</w:t>
      </w:r>
    </w:p>
    <w:p w14:paraId="411E7BBD" w14:textId="7D8D9086" w:rsidR="00085A01" w:rsidRPr="00624CB2" w:rsidRDefault="00A14BE3" w:rsidP="00326846">
      <w:pPr>
        <w:pStyle w:val="Heading1"/>
        <w:jc w:val="both"/>
        <w:rPr>
          <w:lang w:val="en-US"/>
        </w:rPr>
      </w:pPr>
      <w:r w:rsidRPr="00624CB2">
        <w:rPr>
          <w:lang w:val="en-US"/>
        </w:rPr>
        <w:t>Discussion</w:t>
      </w:r>
    </w:p>
    <w:p w14:paraId="0FEF4A4B" w14:textId="63B06860" w:rsidR="0016058B" w:rsidRDefault="0016058B" w:rsidP="0016058B">
      <w:pPr>
        <w:jc w:val="both"/>
        <w:rPr>
          <w:rFonts w:ascii="Arial" w:hAnsi="Arial" w:cs="Arial"/>
          <w:sz w:val="20"/>
        </w:rPr>
      </w:pPr>
      <w:r>
        <w:rPr>
          <w:rFonts w:ascii="Arial" w:hAnsi="Arial" w:cs="Arial"/>
          <w:sz w:val="20"/>
        </w:rPr>
        <w:t>In R12 sidelink operation operating in eNB scheduled mode, BSR is transmitted by the UE to the eNB. The eNB then issues PC5 resource allocations for PSCCH and PSSCH using the (e)PDCCH DCI F5 scrambled with a SL-RNTI. The R12 DCI format 5 contains some fields which directly map into SCI format 0. Other essential information for a UE operating in Mode 1 are obtained through RRC, i.e. MCS. The R12 DCI F5 contains 6 bit PSCCH resource assignment, 1 bit TPC, 1 bit frequency hoppin</w:t>
      </w:r>
      <w:r w:rsidR="0035706B">
        <w:rPr>
          <w:rFonts w:ascii="Arial" w:hAnsi="Arial" w:cs="Arial"/>
          <w:sz w:val="20"/>
        </w:rPr>
        <w:t>g</w:t>
      </w:r>
      <w:r>
        <w:rPr>
          <w:rFonts w:ascii="Arial" w:hAnsi="Arial" w:cs="Arial"/>
          <w:sz w:val="20"/>
        </w:rPr>
        <w:t xml:space="preserve"> flag, 5-13 bits resource block assignment and hopping resource allocation and a 7 bit time resource pattern field.</w:t>
      </w:r>
    </w:p>
    <w:p w14:paraId="7F965B67" w14:textId="49519185" w:rsidR="0035706B" w:rsidRDefault="00E20E3A" w:rsidP="00FD131C">
      <w:pPr>
        <w:jc w:val="both"/>
        <w:rPr>
          <w:rFonts w:ascii="Arial" w:hAnsi="Arial" w:cs="Arial"/>
          <w:sz w:val="20"/>
        </w:rPr>
      </w:pPr>
      <w:r>
        <w:rPr>
          <w:rFonts w:ascii="Arial" w:hAnsi="Arial" w:cs="Arial"/>
          <w:sz w:val="20"/>
        </w:rPr>
        <w:t>We think that the above described principle of R12 sidelink operation in Mode 1 fundamentally still applies in the context of R14 V2V operation. However</w:t>
      </w:r>
      <w:r w:rsidR="00542D55">
        <w:rPr>
          <w:rFonts w:ascii="Arial" w:hAnsi="Arial" w:cs="Arial"/>
          <w:sz w:val="20"/>
        </w:rPr>
        <w:t xml:space="preserve">, the presence of multiple SPS and </w:t>
      </w:r>
      <w:r>
        <w:rPr>
          <w:rFonts w:ascii="Arial" w:hAnsi="Arial" w:cs="Arial"/>
          <w:sz w:val="20"/>
        </w:rPr>
        <w:t xml:space="preserve">the possibility of multi-carrier scheduling will entail changes to the R14 DCI format. In our view, the use of time resource patterns should be </w:t>
      </w:r>
      <w:r>
        <w:rPr>
          <w:rFonts w:ascii="Arial" w:hAnsi="Arial" w:cs="Arial"/>
          <w:sz w:val="20"/>
        </w:rPr>
        <w:lastRenderedPageBreak/>
        <w:t>adopted to the context of R14 V2V in the sense that subband based allocations are used.</w:t>
      </w:r>
      <w:r w:rsidR="00F1236C">
        <w:rPr>
          <w:rFonts w:ascii="Arial" w:hAnsi="Arial" w:cs="Arial"/>
          <w:sz w:val="20"/>
        </w:rPr>
        <w:t xml:space="preserve"> </w:t>
      </w:r>
      <w:r w:rsidR="0035706B">
        <w:rPr>
          <w:rFonts w:ascii="Arial" w:hAnsi="Arial" w:cs="Arial"/>
          <w:sz w:val="20"/>
        </w:rPr>
        <w:t>Therefore, significant changes can be expected when comparing the existing R12 DCI F5 with the new R14 V2V DL control information format.</w:t>
      </w:r>
    </w:p>
    <w:p w14:paraId="4D785F3D" w14:textId="2185C6D6" w:rsidR="0035706B" w:rsidRDefault="0035706B" w:rsidP="00FD131C">
      <w:pPr>
        <w:jc w:val="both"/>
        <w:rPr>
          <w:rFonts w:ascii="Arial" w:hAnsi="Arial" w:cs="Arial"/>
          <w:sz w:val="20"/>
        </w:rPr>
      </w:pPr>
      <w:r>
        <w:rPr>
          <w:rFonts w:ascii="Arial" w:hAnsi="Arial" w:cs="Arial"/>
          <w:sz w:val="20"/>
        </w:rPr>
        <w:t xml:space="preserve">Another important consideration is that unlike </w:t>
      </w:r>
      <w:r w:rsidR="00D96234">
        <w:rPr>
          <w:rFonts w:ascii="Arial" w:hAnsi="Arial" w:cs="Arial"/>
          <w:sz w:val="20"/>
        </w:rPr>
        <w:t xml:space="preserve">the new R14 </w:t>
      </w:r>
      <w:r>
        <w:rPr>
          <w:rFonts w:ascii="Arial" w:hAnsi="Arial" w:cs="Arial"/>
          <w:sz w:val="20"/>
        </w:rPr>
        <w:t>SCI</w:t>
      </w:r>
      <w:r w:rsidR="00D96234">
        <w:rPr>
          <w:rFonts w:ascii="Arial" w:hAnsi="Arial" w:cs="Arial"/>
          <w:sz w:val="20"/>
        </w:rPr>
        <w:t xml:space="preserve"> format</w:t>
      </w:r>
      <w:r>
        <w:rPr>
          <w:rFonts w:ascii="Arial" w:hAnsi="Arial" w:cs="Arial"/>
          <w:sz w:val="20"/>
        </w:rPr>
        <w:t xml:space="preserve">, the R14 DCI will need to operate using the same payload as </w:t>
      </w:r>
      <w:r w:rsidR="00D96234">
        <w:rPr>
          <w:rFonts w:ascii="Arial" w:hAnsi="Arial" w:cs="Arial"/>
          <w:sz w:val="20"/>
        </w:rPr>
        <w:t xml:space="preserve">the existing </w:t>
      </w:r>
      <w:r>
        <w:rPr>
          <w:rFonts w:ascii="Arial" w:hAnsi="Arial" w:cs="Arial"/>
          <w:sz w:val="20"/>
        </w:rPr>
        <w:t xml:space="preserve">DCI F5. This is both in order to </w:t>
      </w:r>
      <w:r w:rsidR="00D96234">
        <w:rPr>
          <w:rFonts w:ascii="Arial" w:hAnsi="Arial" w:cs="Arial"/>
          <w:sz w:val="20"/>
        </w:rPr>
        <w:t>preserve existing DL link budgets in the Uu component of V2V and in order to keep UE blind decoding complexity the same.</w:t>
      </w:r>
      <w:r w:rsidR="00FD2077">
        <w:rPr>
          <w:rFonts w:ascii="Arial" w:hAnsi="Arial" w:cs="Arial"/>
          <w:sz w:val="20"/>
        </w:rPr>
        <w:t xml:space="preserve"> 37 bits are available in the payload.</w:t>
      </w:r>
    </w:p>
    <w:p w14:paraId="2BCD9355" w14:textId="2F427F94" w:rsidR="00CC77D6" w:rsidRPr="007F5BB5" w:rsidRDefault="00CC77D6" w:rsidP="00CC77D6">
      <w:pPr>
        <w:spacing w:after="0"/>
        <w:jc w:val="both"/>
        <w:rPr>
          <w:rFonts w:ascii="Arial" w:hAnsi="Arial" w:cs="Arial"/>
          <w:b/>
          <w:sz w:val="20"/>
        </w:rPr>
      </w:pPr>
      <w:r>
        <w:rPr>
          <w:rFonts w:ascii="Arial" w:hAnsi="Arial" w:cs="Arial"/>
          <w:b/>
          <w:sz w:val="20"/>
        </w:rPr>
        <w:t>Proposal 1</w:t>
      </w:r>
      <w:r w:rsidRPr="007F5BB5">
        <w:rPr>
          <w:rFonts w:ascii="Arial" w:hAnsi="Arial" w:cs="Arial"/>
          <w:b/>
          <w:sz w:val="20"/>
        </w:rPr>
        <w:t>:</w:t>
      </w:r>
    </w:p>
    <w:p w14:paraId="0899FE3F" w14:textId="776CD363" w:rsidR="00CC77D6" w:rsidRPr="007F5BB5" w:rsidRDefault="00CC77D6" w:rsidP="00CC77D6">
      <w:pPr>
        <w:jc w:val="both"/>
        <w:rPr>
          <w:rFonts w:ascii="Arial" w:hAnsi="Arial" w:cs="Arial"/>
          <w:i/>
          <w:sz w:val="20"/>
        </w:rPr>
      </w:pPr>
      <w:r>
        <w:rPr>
          <w:rFonts w:ascii="Arial" w:hAnsi="Arial" w:cs="Arial"/>
          <w:i/>
          <w:sz w:val="20"/>
        </w:rPr>
        <w:t xml:space="preserve">The R14 V2V SPS </w:t>
      </w:r>
      <w:r w:rsidR="00542D55">
        <w:rPr>
          <w:rFonts w:ascii="Arial" w:hAnsi="Arial" w:cs="Arial"/>
          <w:i/>
          <w:sz w:val="20"/>
        </w:rPr>
        <w:t xml:space="preserve">sidelink grant DCI uses </w:t>
      </w:r>
      <w:r>
        <w:rPr>
          <w:rFonts w:ascii="Arial" w:hAnsi="Arial" w:cs="Arial"/>
          <w:i/>
          <w:sz w:val="20"/>
        </w:rPr>
        <w:t xml:space="preserve">the same payload </w:t>
      </w:r>
      <w:r w:rsidR="00542D55">
        <w:rPr>
          <w:rFonts w:ascii="Arial" w:hAnsi="Arial" w:cs="Arial"/>
          <w:i/>
          <w:sz w:val="20"/>
        </w:rPr>
        <w:t xml:space="preserve">size </w:t>
      </w:r>
      <w:r>
        <w:rPr>
          <w:rFonts w:ascii="Arial" w:hAnsi="Arial" w:cs="Arial"/>
          <w:i/>
          <w:sz w:val="20"/>
        </w:rPr>
        <w:t>as the R12/R14 sidelink grant.</w:t>
      </w:r>
    </w:p>
    <w:p w14:paraId="6DCB9D23" w14:textId="1A49208D" w:rsidR="00D96234" w:rsidRDefault="00F1236C" w:rsidP="00FD131C">
      <w:pPr>
        <w:jc w:val="both"/>
        <w:rPr>
          <w:rFonts w:ascii="Arial" w:hAnsi="Arial" w:cs="Arial"/>
          <w:sz w:val="20"/>
        </w:rPr>
      </w:pPr>
      <w:r>
        <w:rPr>
          <w:rFonts w:ascii="Arial" w:hAnsi="Arial" w:cs="Arial"/>
          <w:sz w:val="20"/>
        </w:rPr>
        <w:t xml:space="preserve">In order to properly dimension R14 DCI to support a meaningful, but not unnecessarily high number of concurrent SPS configurations, it is useful to first consider V2V traffic characteristics. V2V traffic is semi-periodic and will see some variation in periodicity and message size, i.e. a function of UE speed. If 2 possible message sizes of around 200 and 300 bytes are supported, for 4 selected message periodicities of </w:t>
      </w:r>
      <w:r w:rsidR="00CC77D6">
        <w:rPr>
          <w:rFonts w:ascii="Arial" w:hAnsi="Arial" w:cs="Arial"/>
          <w:sz w:val="20"/>
        </w:rPr>
        <w:t xml:space="preserve">around </w:t>
      </w:r>
      <w:r>
        <w:rPr>
          <w:rFonts w:ascii="Arial" w:hAnsi="Arial" w:cs="Arial"/>
          <w:sz w:val="20"/>
        </w:rPr>
        <w:t>0,1, 0,2, 0,5 and 1 sec respectively, multiple concurrent SPS patterns with a 100 ms time</w:t>
      </w:r>
      <w:r w:rsidR="005F0FA6">
        <w:rPr>
          <w:rFonts w:ascii="Arial" w:hAnsi="Arial" w:cs="Arial"/>
          <w:sz w:val="20"/>
        </w:rPr>
        <w:t>-staggered offset</w:t>
      </w:r>
      <w:r>
        <w:rPr>
          <w:rFonts w:ascii="Arial" w:hAnsi="Arial" w:cs="Arial"/>
          <w:sz w:val="20"/>
        </w:rPr>
        <w:t xml:space="preserve"> are needed for each of these to meet the 100 ms latency requirement. This results in </w:t>
      </w:r>
      <w:r w:rsidR="00FD2077">
        <w:rPr>
          <w:rFonts w:ascii="Arial" w:hAnsi="Arial" w:cs="Arial"/>
          <w:sz w:val="20"/>
        </w:rPr>
        <w:t>at least</w:t>
      </w:r>
      <w:r>
        <w:rPr>
          <w:rFonts w:ascii="Arial" w:hAnsi="Arial" w:cs="Arial"/>
          <w:sz w:val="20"/>
        </w:rPr>
        <w:t xml:space="preserve"> 36 SPS configurations to be supported, or max 6 bit index based signaling.</w:t>
      </w:r>
      <w:r w:rsidR="00AB530C">
        <w:rPr>
          <w:rFonts w:ascii="Arial" w:hAnsi="Arial" w:cs="Arial"/>
          <w:sz w:val="20"/>
        </w:rPr>
        <w:t xml:space="preserve"> An SPS configuration may include a set of valid MCSs for the transmitting UE and other related parameters.</w:t>
      </w:r>
    </w:p>
    <w:p w14:paraId="312EFCD1" w14:textId="1C875D81" w:rsidR="005F0FA6" w:rsidRPr="005F0FA6" w:rsidRDefault="00CC77D6" w:rsidP="005F0FA6">
      <w:pPr>
        <w:spacing w:after="0"/>
        <w:jc w:val="both"/>
        <w:rPr>
          <w:rFonts w:ascii="Arial" w:hAnsi="Arial" w:cs="Arial"/>
          <w:b/>
          <w:sz w:val="20"/>
        </w:rPr>
      </w:pPr>
      <w:r>
        <w:rPr>
          <w:rFonts w:ascii="Arial" w:hAnsi="Arial" w:cs="Arial"/>
          <w:b/>
          <w:sz w:val="20"/>
        </w:rPr>
        <w:t>Proposal 2</w:t>
      </w:r>
      <w:r w:rsidR="005F0FA6">
        <w:rPr>
          <w:rFonts w:ascii="Arial" w:hAnsi="Arial" w:cs="Arial"/>
          <w:b/>
          <w:sz w:val="20"/>
        </w:rPr>
        <w:t>:</w:t>
      </w:r>
    </w:p>
    <w:p w14:paraId="7F49D757" w14:textId="3C062A6F" w:rsidR="00FD2077" w:rsidRPr="005F0FA6" w:rsidRDefault="005F0FA6" w:rsidP="00FD131C">
      <w:pPr>
        <w:jc w:val="both"/>
        <w:rPr>
          <w:rFonts w:ascii="Arial" w:hAnsi="Arial" w:cs="Arial"/>
          <w:i/>
          <w:sz w:val="20"/>
        </w:rPr>
      </w:pPr>
      <w:r w:rsidRPr="005F0FA6">
        <w:rPr>
          <w:rFonts w:ascii="Arial" w:hAnsi="Arial" w:cs="Arial"/>
          <w:i/>
          <w:sz w:val="20"/>
        </w:rPr>
        <w:t xml:space="preserve">Up to 64 different </w:t>
      </w:r>
      <w:r w:rsidR="00FD2077" w:rsidRPr="005F0FA6">
        <w:rPr>
          <w:rFonts w:ascii="Arial" w:hAnsi="Arial" w:cs="Arial"/>
          <w:i/>
          <w:sz w:val="20"/>
        </w:rPr>
        <w:t xml:space="preserve">SPS configuration </w:t>
      </w:r>
      <w:r w:rsidRPr="005F0FA6">
        <w:rPr>
          <w:rFonts w:ascii="Arial" w:hAnsi="Arial" w:cs="Arial"/>
          <w:i/>
          <w:sz w:val="20"/>
        </w:rPr>
        <w:t xml:space="preserve">are defined. Each corresponds to a particular combination of </w:t>
      </w:r>
      <w:r w:rsidR="00FD2077" w:rsidRPr="005F0FA6">
        <w:rPr>
          <w:rFonts w:ascii="Arial" w:hAnsi="Arial" w:cs="Arial"/>
          <w:i/>
          <w:sz w:val="20"/>
        </w:rPr>
        <w:t xml:space="preserve">payload size </w:t>
      </w:r>
      <w:r w:rsidRPr="005F0FA6">
        <w:rPr>
          <w:rFonts w:ascii="Arial" w:hAnsi="Arial" w:cs="Arial"/>
          <w:i/>
          <w:sz w:val="20"/>
        </w:rPr>
        <w:t>(200 vs. 300 bytes)</w:t>
      </w:r>
      <w:r w:rsidR="00AB530C">
        <w:rPr>
          <w:rFonts w:ascii="Arial" w:hAnsi="Arial" w:cs="Arial"/>
          <w:i/>
          <w:sz w:val="20"/>
        </w:rPr>
        <w:t xml:space="preserve">, </w:t>
      </w:r>
      <w:r w:rsidR="00FD2077" w:rsidRPr="005F0FA6">
        <w:rPr>
          <w:rFonts w:ascii="Arial" w:hAnsi="Arial" w:cs="Arial"/>
          <w:i/>
          <w:sz w:val="20"/>
        </w:rPr>
        <w:t xml:space="preserve">allocation periodicity </w:t>
      </w:r>
      <w:r w:rsidR="00AB530C">
        <w:rPr>
          <w:rFonts w:ascii="Arial" w:hAnsi="Arial" w:cs="Arial"/>
          <w:i/>
          <w:sz w:val="20"/>
        </w:rPr>
        <w:t>(</w:t>
      </w:r>
      <w:r w:rsidR="00CC77D6">
        <w:rPr>
          <w:rFonts w:ascii="Arial" w:hAnsi="Arial" w:cs="Arial"/>
          <w:i/>
          <w:sz w:val="20"/>
        </w:rPr>
        <w:t>80</w:t>
      </w:r>
      <w:r w:rsidR="00AB530C">
        <w:rPr>
          <w:rFonts w:ascii="Arial" w:hAnsi="Arial" w:cs="Arial"/>
          <w:i/>
          <w:sz w:val="20"/>
        </w:rPr>
        <w:t xml:space="preserve">, </w:t>
      </w:r>
      <w:r w:rsidR="00CC77D6">
        <w:rPr>
          <w:rFonts w:ascii="Arial" w:hAnsi="Arial" w:cs="Arial"/>
          <w:i/>
          <w:sz w:val="20"/>
        </w:rPr>
        <w:t>160</w:t>
      </w:r>
      <w:r w:rsidR="00AB530C">
        <w:rPr>
          <w:rFonts w:ascii="Arial" w:hAnsi="Arial" w:cs="Arial"/>
          <w:i/>
          <w:sz w:val="20"/>
        </w:rPr>
        <w:t xml:space="preserve">, </w:t>
      </w:r>
      <w:r w:rsidR="00CC77D6">
        <w:rPr>
          <w:rFonts w:ascii="Arial" w:hAnsi="Arial" w:cs="Arial"/>
          <w:i/>
          <w:sz w:val="20"/>
        </w:rPr>
        <w:t>320</w:t>
      </w:r>
      <w:r w:rsidR="00AB530C">
        <w:rPr>
          <w:rFonts w:ascii="Arial" w:hAnsi="Arial" w:cs="Arial"/>
          <w:i/>
          <w:sz w:val="20"/>
        </w:rPr>
        <w:t xml:space="preserve">, </w:t>
      </w:r>
      <w:r w:rsidR="00CC77D6">
        <w:rPr>
          <w:rFonts w:ascii="Arial" w:hAnsi="Arial" w:cs="Arial"/>
          <w:i/>
          <w:sz w:val="20"/>
        </w:rPr>
        <w:t xml:space="preserve">640 </w:t>
      </w:r>
      <w:r w:rsidR="00AB530C">
        <w:rPr>
          <w:rFonts w:ascii="Arial" w:hAnsi="Arial" w:cs="Arial"/>
          <w:i/>
          <w:sz w:val="20"/>
        </w:rPr>
        <w:t xml:space="preserve">ms), a </w:t>
      </w:r>
      <w:r w:rsidR="00FD2077" w:rsidRPr="005F0FA6">
        <w:rPr>
          <w:rFonts w:ascii="Arial" w:hAnsi="Arial" w:cs="Arial"/>
          <w:i/>
          <w:sz w:val="20"/>
        </w:rPr>
        <w:t xml:space="preserve">time-staggered </w:t>
      </w:r>
      <w:r w:rsidR="00AB530C">
        <w:rPr>
          <w:rFonts w:ascii="Arial" w:hAnsi="Arial" w:cs="Arial"/>
          <w:i/>
          <w:sz w:val="20"/>
        </w:rPr>
        <w:t xml:space="preserve">starting </w:t>
      </w:r>
      <w:r w:rsidR="00FD2077" w:rsidRPr="005F0FA6">
        <w:rPr>
          <w:rFonts w:ascii="Arial" w:hAnsi="Arial" w:cs="Arial"/>
          <w:i/>
          <w:sz w:val="20"/>
        </w:rPr>
        <w:t xml:space="preserve">offset </w:t>
      </w:r>
      <w:r>
        <w:rPr>
          <w:rFonts w:ascii="Arial" w:hAnsi="Arial" w:cs="Arial"/>
          <w:i/>
          <w:sz w:val="20"/>
        </w:rPr>
        <w:t xml:space="preserve">with granularity </w:t>
      </w:r>
      <w:r w:rsidR="00CC77D6">
        <w:rPr>
          <w:rFonts w:ascii="Arial" w:hAnsi="Arial" w:cs="Arial"/>
          <w:i/>
          <w:sz w:val="20"/>
        </w:rPr>
        <w:t xml:space="preserve">80 </w:t>
      </w:r>
      <w:r>
        <w:rPr>
          <w:rFonts w:ascii="Arial" w:hAnsi="Arial" w:cs="Arial"/>
          <w:i/>
          <w:sz w:val="20"/>
        </w:rPr>
        <w:t>ms</w:t>
      </w:r>
      <w:r w:rsidR="00AB530C">
        <w:rPr>
          <w:rFonts w:ascii="Arial" w:hAnsi="Arial" w:cs="Arial"/>
          <w:i/>
          <w:sz w:val="20"/>
        </w:rPr>
        <w:t xml:space="preserve"> and may include an SPS configuration specific MCS set</w:t>
      </w:r>
      <w:r>
        <w:rPr>
          <w:rFonts w:ascii="Arial" w:hAnsi="Arial" w:cs="Arial"/>
          <w:i/>
          <w:sz w:val="20"/>
        </w:rPr>
        <w:t>.</w:t>
      </w:r>
    </w:p>
    <w:p w14:paraId="247470DF" w14:textId="7D9ABD26" w:rsidR="007F5BB5" w:rsidRDefault="007F5BB5" w:rsidP="00FD131C">
      <w:pPr>
        <w:jc w:val="both"/>
        <w:rPr>
          <w:rFonts w:ascii="Arial" w:hAnsi="Arial" w:cs="Arial"/>
          <w:sz w:val="20"/>
        </w:rPr>
      </w:pPr>
      <w:r>
        <w:rPr>
          <w:rFonts w:ascii="Arial" w:hAnsi="Arial" w:cs="Arial"/>
          <w:sz w:val="20"/>
        </w:rPr>
        <w:t xml:space="preserve">Prior to the eNB issuing an SPS activation, it is necessary that the UE reports to eNB what kind of traffic it will need to transmit. If the UE were to identify one particular SPS configuration necessary for its next V2V message every time, the resulting UL overhead would quickly become prohibitive. It should also be remembered that instantaneous arrival of higher priority V2V messages in the UE buffer may </w:t>
      </w:r>
      <w:r w:rsidR="00FD2077">
        <w:rPr>
          <w:rFonts w:ascii="Arial" w:hAnsi="Arial" w:cs="Arial"/>
          <w:sz w:val="20"/>
        </w:rPr>
        <w:t xml:space="preserve">result in the need </w:t>
      </w:r>
      <w:r>
        <w:rPr>
          <w:rFonts w:ascii="Arial" w:hAnsi="Arial" w:cs="Arial"/>
          <w:sz w:val="20"/>
        </w:rPr>
        <w:t>to transmit these messages earlier, i.e. an ongoing resource allocation procedure may become obsolete.</w:t>
      </w:r>
    </w:p>
    <w:p w14:paraId="3C7A1A30" w14:textId="2DF81101" w:rsidR="007F5BB5" w:rsidRDefault="00F1236C" w:rsidP="00FD131C">
      <w:pPr>
        <w:jc w:val="both"/>
        <w:rPr>
          <w:rFonts w:ascii="Arial" w:hAnsi="Arial" w:cs="Arial"/>
          <w:sz w:val="20"/>
        </w:rPr>
      </w:pPr>
      <w:r>
        <w:rPr>
          <w:rFonts w:ascii="Arial" w:hAnsi="Arial" w:cs="Arial"/>
          <w:sz w:val="20"/>
        </w:rPr>
        <w:t xml:space="preserve">In consequence, we think that RNTI-based activation of </w:t>
      </w:r>
      <w:r w:rsidR="007F5BB5">
        <w:rPr>
          <w:rFonts w:ascii="Arial" w:hAnsi="Arial" w:cs="Arial"/>
          <w:sz w:val="20"/>
        </w:rPr>
        <w:t xml:space="preserve">a single </w:t>
      </w:r>
      <w:r>
        <w:rPr>
          <w:rFonts w:ascii="Arial" w:hAnsi="Arial" w:cs="Arial"/>
          <w:sz w:val="20"/>
        </w:rPr>
        <w:t xml:space="preserve">pre-configured SPS </w:t>
      </w:r>
      <w:r w:rsidR="007F5BB5">
        <w:rPr>
          <w:rFonts w:ascii="Arial" w:hAnsi="Arial" w:cs="Arial"/>
          <w:sz w:val="20"/>
        </w:rPr>
        <w:t xml:space="preserve">is not a good </w:t>
      </w:r>
      <w:r w:rsidR="00FD2077">
        <w:rPr>
          <w:rFonts w:ascii="Arial" w:hAnsi="Arial" w:cs="Arial"/>
          <w:sz w:val="20"/>
        </w:rPr>
        <w:t xml:space="preserve">design </w:t>
      </w:r>
      <w:r w:rsidR="007F5BB5">
        <w:rPr>
          <w:rFonts w:ascii="Arial" w:hAnsi="Arial" w:cs="Arial"/>
          <w:sz w:val="20"/>
        </w:rPr>
        <w:t>choice. It should be possible for the eNB to activate multiple SPS configurations simultaneously. It is clear that explicit signaling is required.</w:t>
      </w:r>
      <w:r w:rsidR="00FD2077">
        <w:rPr>
          <w:rFonts w:ascii="Arial" w:hAnsi="Arial" w:cs="Arial"/>
          <w:sz w:val="20"/>
        </w:rPr>
        <w:t xml:space="preserve"> </w:t>
      </w:r>
      <w:r w:rsidR="005F0FA6">
        <w:rPr>
          <w:rFonts w:ascii="Arial" w:hAnsi="Arial" w:cs="Arial"/>
          <w:sz w:val="20"/>
        </w:rPr>
        <w:t xml:space="preserve">Up to </w:t>
      </w:r>
      <w:r w:rsidR="00CC77D6">
        <w:rPr>
          <w:rFonts w:ascii="Arial" w:hAnsi="Arial" w:cs="Arial"/>
          <w:sz w:val="20"/>
        </w:rPr>
        <w:t>14</w:t>
      </w:r>
      <w:r w:rsidR="005F0FA6">
        <w:rPr>
          <w:rFonts w:ascii="Arial" w:hAnsi="Arial" w:cs="Arial"/>
          <w:sz w:val="20"/>
        </w:rPr>
        <w:t xml:space="preserve"> concurrent SPS </w:t>
      </w:r>
      <w:r w:rsidR="00F13316">
        <w:rPr>
          <w:rFonts w:ascii="Arial" w:hAnsi="Arial" w:cs="Arial"/>
          <w:sz w:val="20"/>
        </w:rPr>
        <w:t xml:space="preserve">processes </w:t>
      </w:r>
      <w:r w:rsidR="005F0FA6">
        <w:rPr>
          <w:rFonts w:ascii="Arial" w:hAnsi="Arial" w:cs="Arial"/>
          <w:sz w:val="20"/>
        </w:rPr>
        <w:t xml:space="preserve">can be activated simultaneously by the eNB </w:t>
      </w:r>
      <w:r w:rsidR="00F13316">
        <w:rPr>
          <w:rFonts w:ascii="Arial" w:hAnsi="Arial" w:cs="Arial"/>
          <w:sz w:val="20"/>
        </w:rPr>
        <w:t xml:space="preserve">using a bitmap approach </w:t>
      </w:r>
      <w:r w:rsidR="005F0FA6">
        <w:rPr>
          <w:rFonts w:ascii="Arial" w:hAnsi="Arial" w:cs="Arial"/>
          <w:sz w:val="20"/>
        </w:rPr>
        <w:t>under the constraint that the overall payload size of the R14 DCI activation command should align with</w:t>
      </w:r>
      <w:r w:rsidR="00CC77D6">
        <w:rPr>
          <w:rFonts w:ascii="Arial" w:hAnsi="Arial" w:cs="Arial"/>
          <w:sz w:val="20"/>
        </w:rPr>
        <w:t xml:space="preserve"> the R12 DCI F5 sidelink grant.</w:t>
      </w:r>
    </w:p>
    <w:p w14:paraId="6F1C8F1E" w14:textId="6F2B904B" w:rsidR="007F5BB5" w:rsidRPr="007F5BB5" w:rsidRDefault="005F0FA6" w:rsidP="007F5BB5">
      <w:pPr>
        <w:spacing w:after="0"/>
        <w:jc w:val="both"/>
        <w:rPr>
          <w:rFonts w:ascii="Arial" w:hAnsi="Arial" w:cs="Arial"/>
          <w:b/>
          <w:sz w:val="20"/>
        </w:rPr>
      </w:pPr>
      <w:r>
        <w:rPr>
          <w:rFonts w:ascii="Arial" w:hAnsi="Arial" w:cs="Arial"/>
          <w:b/>
          <w:sz w:val="20"/>
        </w:rPr>
        <w:t xml:space="preserve">Proposal </w:t>
      </w:r>
      <w:r w:rsidR="00CC77D6">
        <w:rPr>
          <w:rFonts w:ascii="Arial" w:hAnsi="Arial" w:cs="Arial"/>
          <w:b/>
          <w:sz w:val="20"/>
        </w:rPr>
        <w:t>3</w:t>
      </w:r>
      <w:r w:rsidR="007F5BB5" w:rsidRPr="007F5BB5">
        <w:rPr>
          <w:rFonts w:ascii="Arial" w:hAnsi="Arial" w:cs="Arial"/>
          <w:b/>
          <w:sz w:val="20"/>
        </w:rPr>
        <w:t>:</w:t>
      </w:r>
    </w:p>
    <w:p w14:paraId="26589B37" w14:textId="34389C25" w:rsidR="005F0FA6" w:rsidRDefault="00C721E3" w:rsidP="00FD131C">
      <w:pPr>
        <w:jc w:val="both"/>
        <w:rPr>
          <w:rFonts w:ascii="Arial" w:hAnsi="Arial" w:cs="Arial"/>
          <w:i/>
          <w:sz w:val="20"/>
        </w:rPr>
      </w:pPr>
      <w:r>
        <w:rPr>
          <w:rFonts w:ascii="Arial" w:hAnsi="Arial" w:cs="Arial"/>
          <w:i/>
          <w:sz w:val="20"/>
        </w:rPr>
        <w:t xml:space="preserve">Up to </w:t>
      </w:r>
      <w:r w:rsidR="00CC77D6">
        <w:rPr>
          <w:rFonts w:ascii="Arial" w:hAnsi="Arial" w:cs="Arial"/>
          <w:i/>
          <w:sz w:val="20"/>
        </w:rPr>
        <w:t>14</w:t>
      </w:r>
      <w:r>
        <w:rPr>
          <w:rFonts w:ascii="Arial" w:hAnsi="Arial" w:cs="Arial"/>
          <w:i/>
          <w:sz w:val="20"/>
        </w:rPr>
        <w:t xml:space="preserve"> concurrent </w:t>
      </w:r>
      <w:r w:rsidR="007F5BB5" w:rsidRPr="007F5BB5">
        <w:rPr>
          <w:rFonts w:ascii="Arial" w:hAnsi="Arial" w:cs="Arial"/>
          <w:i/>
          <w:sz w:val="20"/>
        </w:rPr>
        <w:t xml:space="preserve">SPS </w:t>
      </w:r>
      <w:r w:rsidR="00F13316">
        <w:rPr>
          <w:rFonts w:ascii="Arial" w:hAnsi="Arial" w:cs="Arial"/>
          <w:i/>
          <w:sz w:val="20"/>
        </w:rPr>
        <w:t>processes</w:t>
      </w:r>
      <w:r w:rsidR="007F5BB5" w:rsidRPr="007F5BB5">
        <w:rPr>
          <w:rFonts w:ascii="Arial" w:hAnsi="Arial" w:cs="Arial"/>
          <w:i/>
          <w:sz w:val="20"/>
        </w:rPr>
        <w:t xml:space="preserve"> can be activated </w:t>
      </w:r>
      <w:r w:rsidR="005F0FA6">
        <w:rPr>
          <w:rFonts w:ascii="Arial" w:hAnsi="Arial" w:cs="Arial"/>
          <w:i/>
          <w:sz w:val="20"/>
        </w:rPr>
        <w:t xml:space="preserve">simultaneously </w:t>
      </w:r>
      <w:r w:rsidR="007F5BB5" w:rsidRPr="007F5BB5">
        <w:rPr>
          <w:rFonts w:ascii="Arial" w:hAnsi="Arial" w:cs="Arial"/>
          <w:i/>
          <w:sz w:val="20"/>
        </w:rPr>
        <w:t>by the eNB</w:t>
      </w:r>
      <w:r>
        <w:rPr>
          <w:rFonts w:ascii="Arial" w:hAnsi="Arial" w:cs="Arial"/>
          <w:i/>
          <w:sz w:val="20"/>
        </w:rPr>
        <w:t xml:space="preserve"> </w:t>
      </w:r>
      <w:r w:rsidR="00F13316">
        <w:rPr>
          <w:rFonts w:ascii="Arial" w:hAnsi="Arial" w:cs="Arial"/>
          <w:i/>
          <w:sz w:val="20"/>
        </w:rPr>
        <w:t xml:space="preserve">using a bitmap </w:t>
      </w:r>
      <w:r>
        <w:rPr>
          <w:rFonts w:ascii="Arial" w:hAnsi="Arial" w:cs="Arial"/>
          <w:i/>
          <w:sz w:val="20"/>
        </w:rPr>
        <w:t xml:space="preserve">in the </w:t>
      </w:r>
      <w:r w:rsidR="00CC77D6">
        <w:rPr>
          <w:rFonts w:ascii="Arial" w:hAnsi="Arial" w:cs="Arial"/>
          <w:i/>
          <w:sz w:val="20"/>
        </w:rPr>
        <w:t>R14 sidelink grant DCI format</w:t>
      </w:r>
      <w:r w:rsidR="007F5BB5" w:rsidRPr="007F5BB5">
        <w:rPr>
          <w:rFonts w:ascii="Arial" w:hAnsi="Arial" w:cs="Arial"/>
          <w:i/>
          <w:sz w:val="20"/>
        </w:rPr>
        <w:t>.</w:t>
      </w:r>
      <w:r w:rsidR="00F13316">
        <w:rPr>
          <w:rFonts w:ascii="Arial" w:hAnsi="Arial" w:cs="Arial"/>
          <w:i/>
          <w:sz w:val="20"/>
        </w:rPr>
        <w:t xml:space="preserve"> A particular SPS process is configured through RRC and is selected from the set of 64 different SPS configurations.</w:t>
      </w:r>
    </w:p>
    <w:p w14:paraId="50AC2BF8" w14:textId="40BD5350" w:rsidR="007F5BB5" w:rsidRDefault="00FD2077" w:rsidP="00FD131C">
      <w:pPr>
        <w:jc w:val="both"/>
        <w:rPr>
          <w:rFonts w:ascii="Arial" w:hAnsi="Arial" w:cs="Arial"/>
          <w:sz w:val="20"/>
        </w:rPr>
      </w:pPr>
      <w:r>
        <w:rPr>
          <w:rFonts w:ascii="Arial" w:hAnsi="Arial" w:cs="Arial"/>
          <w:sz w:val="20"/>
        </w:rPr>
        <w:t xml:space="preserve">A reliable activation / de-activation mechanism is important to prevent V2V UEs from interfering sidelink resources. </w:t>
      </w:r>
      <w:r w:rsidR="00C721E3">
        <w:rPr>
          <w:rFonts w:ascii="Arial" w:hAnsi="Arial" w:cs="Arial"/>
          <w:sz w:val="20"/>
        </w:rPr>
        <w:t>It is one possibility to allow for cumulative updates to activated SPS processes, i.e. subsequently received activation commands activate additional SPS processes in addition to already activated SPS processes. We think however that such an approach is error-prone. Therefore, we recommend to adopt the principle applied in R12/R13 for DCI F5 sidelink grants that once re</w:t>
      </w:r>
      <w:r w:rsidR="005E350F">
        <w:rPr>
          <w:rFonts w:ascii="Arial" w:hAnsi="Arial" w:cs="Arial"/>
          <w:sz w:val="20"/>
        </w:rPr>
        <w:t>ceived, it supersedes all previ</w:t>
      </w:r>
      <w:r w:rsidR="00C721E3">
        <w:rPr>
          <w:rFonts w:ascii="Arial" w:hAnsi="Arial" w:cs="Arial"/>
          <w:sz w:val="20"/>
        </w:rPr>
        <w:t>ou</w:t>
      </w:r>
      <w:r w:rsidR="005E350F">
        <w:rPr>
          <w:rFonts w:ascii="Arial" w:hAnsi="Arial" w:cs="Arial"/>
          <w:sz w:val="20"/>
        </w:rPr>
        <w:t>s</w:t>
      </w:r>
      <w:r w:rsidR="00C721E3">
        <w:rPr>
          <w:rFonts w:ascii="Arial" w:hAnsi="Arial" w:cs="Arial"/>
          <w:sz w:val="20"/>
        </w:rPr>
        <w:t>ly received grants (for that particular transmission pool) also for SPS.</w:t>
      </w:r>
    </w:p>
    <w:p w14:paraId="24F1F5A9" w14:textId="561B55D8" w:rsidR="00C721E3" w:rsidRPr="007F5BB5" w:rsidRDefault="00C721E3" w:rsidP="00C721E3">
      <w:pPr>
        <w:spacing w:after="0"/>
        <w:jc w:val="both"/>
        <w:rPr>
          <w:rFonts w:ascii="Arial" w:hAnsi="Arial" w:cs="Arial"/>
          <w:b/>
          <w:sz w:val="20"/>
        </w:rPr>
      </w:pPr>
      <w:r>
        <w:rPr>
          <w:rFonts w:ascii="Arial" w:hAnsi="Arial" w:cs="Arial"/>
          <w:b/>
          <w:sz w:val="20"/>
        </w:rPr>
        <w:t>Proposal 4</w:t>
      </w:r>
      <w:r w:rsidRPr="007F5BB5">
        <w:rPr>
          <w:rFonts w:ascii="Arial" w:hAnsi="Arial" w:cs="Arial"/>
          <w:b/>
          <w:sz w:val="20"/>
        </w:rPr>
        <w:t>:</w:t>
      </w:r>
    </w:p>
    <w:p w14:paraId="716A1714" w14:textId="22AD64E5" w:rsidR="00C721E3" w:rsidRDefault="00C721E3" w:rsidP="00C721E3">
      <w:pPr>
        <w:jc w:val="both"/>
        <w:rPr>
          <w:rFonts w:ascii="Arial" w:hAnsi="Arial" w:cs="Arial"/>
          <w:i/>
          <w:sz w:val="20"/>
        </w:rPr>
      </w:pPr>
      <w:r>
        <w:rPr>
          <w:rFonts w:ascii="Arial" w:hAnsi="Arial" w:cs="Arial"/>
          <w:i/>
          <w:sz w:val="20"/>
        </w:rPr>
        <w:t>An SPS activation command decoded by the UE implicitly de-activates all other SPS processes not indicated by the received SPS activation command.</w:t>
      </w:r>
    </w:p>
    <w:p w14:paraId="4B47FA66" w14:textId="37E94552" w:rsidR="00E20E3A" w:rsidRPr="00E20E3A" w:rsidRDefault="00542D55" w:rsidP="00E20E3A">
      <w:pPr>
        <w:jc w:val="both"/>
        <w:rPr>
          <w:rFonts w:ascii="Arial" w:hAnsi="Arial" w:cs="Arial"/>
          <w:sz w:val="20"/>
        </w:rPr>
      </w:pPr>
      <w:r>
        <w:rPr>
          <w:rFonts w:ascii="Arial" w:hAnsi="Arial" w:cs="Arial"/>
          <w:sz w:val="20"/>
        </w:rPr>
        <w:t xml:space="preserve">Based on the principle that the SPS periodicity defines the repeating </w:t>
      </w:r>
      <w:r w:rsidR="00DC4A12">
        <w:rPr>
          <w:rFonts w:ascii="Arial" w:hAnsi="Arial" w:cs="Arial"/>
          <w:sz w:val="20"/>
        </w:rPr>
        <w:t xml:space="preserve">period </w:t>
      </w:r>
      <w:r>
        <w:rPr>
          <w:rFonts w:ascii="Arial" w:hAnsi="Arial" w:cs="Arial"/>
          <w:sz w:val="20"/>
        </w:rPr>
        <w:t xml:space="preserve">of PSCCH and PSSCH resources </w:t>
      </w:r>
      <w:r w:rsidR="005E350F">
        <w:rPr>
          <w:rFonts w:ascii="Arial" w:hAnsi="Arial" w:cs="Arial"/>
          <w:sz w:val="20"/>
        </w:rPr>
        <w:t xml:space="preserve">assigned </w:t>
      </w:r>
      <w:r w:rsidR="00A02FDA">
        <w:rPr>
          <w:rFonts w:ascii="Arial" w:hAnsi="Arial" w:cs="Arial"/>
          <w:sz w:val="20"/>
        </w:rPr>
        <w:t>on transmission pools defined in a given period</w:t>
      </w:r>
      <w:r w:rsidR="00DC4A12">
        <w:rPr>
          <w:rFonts w:ascii="Arial" w:hAnsi="Arial" w:cs="Arial"/>
          <w:sz w:val="20"/>
        </w:rPr>
        <w:t xml:space="preserve">, </w:t>
      </w:r>
      <w:r>
        <w:rPr>
          <w:rFonts w:ascii="Arial" w:hAnsi="Arial" w:cs="Arial"/>
          <w:sz w:val="20"/>
        </w:rPr>
        <w:t>w</w:t>
      </w:r>
      <w:r w:rsidR="00E20E3A" w:rsidRPr="00E20E3A">
        <w:rPr>
          <w:rFonts w:ascii="Arial" w:hAnsi="Arial" w:cs="Arial"/>
          <w:sz w:val="20"/>
        </w:rPr>
        <w:t>e propose the following contents for the R14 V2V sidelink grant DCI format</w:t>
      </w:r>
      <w:r w:rsidR="00DC4A12">
        <w:rPr>
          <w:rFonts w:ascii="Arial" w:hAnsi="Arial" w:cs="Arial"/>
          <w:sz w:val="20"/>
        </w:rPr>
        <w:t xml:space="preserve"> </w:t>
      </w:r>
      <w:r w:rsidR="00DC4A12" w:rsidRPr="00E20E3A">
        <w:rPr>
          <w:rFonts w:ascii="Arial" w:hAnsi="Arial" w:cs="Arial"/>
          <w:sz w:val="20"/>
        </w:rPr>
        <w:t>(Table 1)</w:t>
      </w:r>
      <w:r w:rsidR="00E20E3A" w:rsidRPr="00E20E3A">
        <w:rPr>
          <w:rFonts w:ascii="Arial" w:hAnsi="Arial" w:cs="Arial"/>
          <w:sz w:val="20"/>
        </w:rPr>
        <w:t>.</w:t>
      </w:r>
    </w:p>
    <w:p w14:paraId="235DEE9A" w14:textId="2C0A3DF8" w:rsidR="00355064" w:rsidRDefault="00355064">
      <w:pPr>
        <w:spacing w:after="0" w:line="240" w:lineRule="auto"/>
        <w:rPr>
          <w:rFonts w:ascii="Arial" w:hAnsi="Arial" w:cs="Arial"/>
          <w:sz w:val="20"/>
        </w:rPr>
      </w:pPr>
      <w:r>
        <w:rPr>
          <w:rFonts w:ascii="Arial" w:hAnsi="Arial" w:cs="Arial"/>
          <w:sz w:val="20"/>
        </w:rPr>
        <w:br w:type="page"/>
      </w:r>
    </w:p>
    <w:p w14:paraId="659751BA" w14:textId="647D4301" w:rsidR="00E20E3A" w:rsidRPr="00E20E3A" w:rsidRDefault="00DC4A12" w:rsidP="00E20E3A">
      <w:pPr>
        <w:spacing w:after="240"/>
        <w:jc w:val="center"/>
        <w:rPr>
          <w:b/>
          <w:bCs/>
        </w:rPr>
      </w:pPr>
      <w:bookmarkStart w:id="0" w:name="_GoBack"/>
      <w:bookmarkEnd w:id="0"/>
      <w:r>
        <w:rPr>
          <w:b/>
          <w:bCs/>
        </w:rPr>
        <w:lastRenderedPageBreak/>
        <w:t>Table 1: R14 D</w:t>
      </w:r>
      <w:r w:rsidR="00E20E3A" w:rsidRPr="00E20E3A">
        <w:rPr>
          <w:b/>
          <w:bCs/>
        </w:rPr>
        <w:t>CI contents</w:t>
      </w:r>
    </w:p>
    <w:tbl>
      <w:tblPr>
        <w:tblStyle w:val="TableGrid6"/>
        <w:tblW w:w="0" w:type="auto"/>
        <w:tblLook w:val="04A0" w:firstRow="1" w:lastRow="0" w:firstColumn="1" w:lastColumn="0" w:noHBand="0" w:noVBand="1"/>
      </w:tblPr>
      <w:tblGrid>
        <w:gridCol w:w="2553"/>
        <w:gridCol w:w="2561"/>
        <w:gridCol w:w="1721"/>
        <w:gridCol w:w="2794"/>
      </w:tblGrid>
      <w:tr w:rsidR="00E20E3A" w:rsidRPr="00E20E3A" w14:paraId="4B26D581" w14:textId="77777777" w:rsidTr="00911932">
        <w:tc>
          <w:tcPr>
            <w:tcW w:w="2553" w:type="dxa"/>
          </w:tcPr>
          <w:p w14:paraId="792726DB" w14:textId="77777777" w:rsidR="00E20E3A" w:rsidRPr="00E20E3A" w:rsidRDefault="00E20E3A" w:rsidP="00E20E3A">
            <w:pPr>
              <w:jc w:val="both"/>
              <w:rPr>
                <w:rFonts w:ascii="Arial" w:hAnsi="Arial" w:cs="Arial"/>
                <w:b/>
                <w:sz w:val="20"/>
              </w:rPr>
            </w:pPr>
            <w:r w:rsidRPr="00E20E3A">
              <w:rPr>
                <w:rFonts w:ascii="Arial" w:hAnsi="Arial" w:cs="Arial"/>
                <w:b/>
                <w:sz w:val="20"/>
              </w:rPr>
              <w:t>Information field</w:t>
            </w:r>
          </w:p>
        </w:tc>
        <w:tc>
          <w:tcPr>
            <w:tcW w:w="2561" w:type="dxa"/>
          </w:tcPr>
          <w:p w14:paraId="6E0A9B0A" w14:textId="77777777" w:rsidR="00E20E3A" w:rsidRPr="00E20E3A" w:rsidRDefault="00E20E3A" w:rsidP="00E20E3A">
            <w:pPr>
              <w:jc w:val="both"/>
              <w:rPr>
                <w:rFonts w:ascii="Arial" w:hAnsi="Arial" w:cs="Arial"/>
                <w:b/>
                <w:sz w:val="20"/>
              </w:rPr>
            </w:pPr>
            <w:r w:rsidRPr="00E20E3A">
              <w:rPr>
                <w:rFonts w:ascii="Arial" w:hAnsi="Arial" w:cs="Arial"/>
                <w:b/>
                <w:sz w:val="20"/>
              </w:rPr>
              <w:t>Definition</w:t>
            </w:r>
          </w:p>
        </w:tc>
        <w:tc>
          <w:tcPr>
            <w:tcW w:w="1721" w:type="dxa"/>
          </w:tcPr>
          <w:p w14:paraId="27EAB5A9" w14:textId="77777777" w:rsidR="00E20E3A" w:rsidRPr="00E20E3A" w:rsidRDefault="00E20E3A" w:rsidP="00E20E3A">
            <w:pPr>
              <w:jc w:val="both"/>
              <w:rPr>
                <w:rFonts w:ascii="Arial" w:hAnsi="Arial" w:cs="Arial"/>
                <w:b/>
                <w:sz w:val="20"/>
              </w:rPr>
            </w:pPr>
            <w:r w:rsidRPr="00E20E3A">
              <w:rPr>
                <w:rFonts w:ascii="Arial" w:hAnsi="Arial" w:cs="Arial"/>
                <w:b/>
                <w:sz w:val="20"/>
              </w:rPr>
              <w:t>Field size (bits)</w:t>
            </w:r>
          </w:p>
        </w:tc>
        <w:tc>
          <w:tcPr>
            <w:tcW w:w="2794" w:type="dxa"/>
          </w:tcPr>
          <w:p w14:paraId="7247E4F1" w14:textId="77777777" w:rsidR="00E20E3A" w:rsidRPr="00E20E3A" w:rsidRDefault="00E20E3A" w:rsidP="00E20E3A">
            <w:pPr>
              <w:jc w:val="both"/>
              <w:rPr>
                <w:rFonts w:ascii="Arial" w:hAnsi="Arial" w:cs="Arial"/>
                <w:b/>
                <w:sz w:val="20"/>
              </w:rPr>
            </w:pPr>
            <w:r w:rsidRPr="00E20E3A">
              <w:rPr>
                <w:rFonts w:ascii="Arial" w:hAnsi="Arial" w:cs="Arial"/>
                <w:b/>
                <w:sz w:val="20"/>
              </w:rPr>
              <w:t>Note</w:t>
            </w:r>
          </w:p>
        </w:tc>
      </w:tr>
      <w:tr w:rsidR="00E20E3A" w:rsidRPr="00E20E3A" w14:paraId="4ACAA7B1" w14:textId="77777777" w:rsidTr="00911932">
        <w:tc>
          <w:tcPr>
            <w:tcW w:w="2553" w:type="dxa"/>
          </w:tcPr>
          <w:p w14:paraId="2BD99BB1" w14:textId="77777777" w:rsidR="00E20E3A" w:rsidRPr="00E20E3A" w:rsidRDefault="00E20E3A" w:rsidP="00E20E3A">
            <w:pPr>
              <w:rPr>
                <w:rFonts w:ascii="Arial" w:hAnsi="Arial" w:cs="Arial"/>
                <w:sz w:val="20"/>
              </w:rPr>
            </w:pPr>
            <w:r w:rsidRPr="00E20E3A">
              <w:rPr>
                <w:rFonts w:ascii="Arial" w:hAnsi="Arial" w:cs="Arial"/>
                <w:sz w:val="20"/>
              </w:rPr>
              <w:t>PSCCH resource assignment</w:t>
            </w:r>
          </w:p>
        </w:tc>
        <w:tc>
          <w:tcPr>
            <w:tcW w:w="2561" w:type="dxa"/>
          </w:tcPr>
          <w:p w14:paraId="5636A95F" w14:textId="77777777" w:rsidR="00E20E3A" w:rsidRPr="00E20E3A" w:rsidRDefault="00E20E3A" w:rsidP="00E20E3A">
            <w:pPr>
              <w:rPr>
                <w:rFonts w:ascii="Arial" w:hAnsi="Arial" w:cs="Arial"/>
                <w:sz w:val="20"/>
              </w:rPr>
            </w:pPr>
            <w:r w:rsidRPr="00E20E3A">
              <w:rPr>
                <w:rFonts w:ascii="Arial" w:hAnsi="Arial" w:cs="Arial"/>
                <w:sz w:val="20"/>
              </w:rPr>
              <w:t>Indicates resources for transmitting of PSCCH</w:t>
            </w:r>
          </w:p>
        </w:tc>
        <w:tc>
          <w:tcPr>
            <w:tcW w:w="1721" w:type="dxa"/>
          </w:tcPr>
          <w:p w14:paraId="0A0C73B6" w14:textId="77777777" w:rsidR="00E20E3A" w:rsidRPr="00E20E3A" w:rsidRDefault="00E20E3A" w:rsidP="00E20E3A">
            <w:pPr>
              <w:rPr>
                <w:rFonts w:ascii="Arial" w:hAnsi="Arial" w:cs="Arial"/>
                <w:sz w:val="20"/>
              </w:rPr>
            </w:pPr>
            <w:r w:rsidRPr="00E20E3A">
              <w:rPr>
                <w:rFonts w:ascii="Arial" w:hAnsi="Arial" w:cs="Arial"/>
                <w:sz w:val="20"/>
              </w:rPr>
              <w:t>6</w:t>
            </w:r>
          </w:p>
        </w:tc>
        <w:tc>
          <w:tcPr>
            <w:tcW w:w="2794" w:type="dxa"/>
          </w:tcPr>
          <w:p w14:paraId="1ABFCA90" w14:textId="424146EC" w:rsidR="00E20E3A" w:rsidRPr="00E20E3A" w:rsidRDefault="00E20E3A" w:rsidP="00E20E3A">
            <w:pPr>
              <w:rPr>
                <w:rFonts w:ascii="Arial" w:hAnsi="Arial" w:cs="Arial"/>
                <w:sz w:val="20"/>
              </w:rPr>
            </w:pPr>
          </w:p>
        </w:tc>
      </w:tr>
      <w:tr w:rsidR="00E20E3A" w:rsidRPr="00E20E3A" w14:paraId="35C82BA2" w14:textId="77777777" w:rsidTr="00911932">
        <w:tc>
          <w:tcPr>
            <w:tcW w:w="2553" w:type="dxa"/>
          </w:tcPr>
          <w:p w14:paraId="5B8FFFAD" w14:textId="77777777" w:rsidR="00E20E3A" w:rsidRPr="00E20E3A" w:rsidRDefault="00E20E3A" w:rsidP="00E20E3A">
            <w:pPr>
              <w:rPr>
                <w:rFonts w:ascii="Arial" w:hAnsi="Arial" w:cs="Arial"/>
                <w:sz w:val="20"/>
              </w:rPr>
            </w:pPr>
            <w:r w:rsidRPr="00E20E3A">
              <w:rPr>
                <w:rFonts w:ascii="Arial" w:hAnsi="Arial" w:cs="Arial"/>
                <w:sz w:val="20"/>
              </w:rPr>
              <w:t>Carrier indicator</w:t>
            </w:r>
          </w:p>
        </w:tc>
        <w:tc>
          <w:tcPr>
            <w:tcW w:w="2561" w:type="dxa"/>
          </w:tcPr>
          <w:p w14:paraId="3E50698A" w14:textId="77777777" w:rsidR="00E20E3A" w:rsidRPr="00E20E3A" w:rsidRDefault="00E20E3A" w:rsidP="00E20E3A">
            <w:pPr>
              <w:rPr>
                <w:rFonts w:ascii="Arial" w:hAnsi="Arial" w:cs="Arial"/>
                <w:sz w:val="20"/>
              </w:rPr>
            </w:pPr>
            <w:r w:rsidRPr="00E20E3A">
              <w:rPr>
                <w:rFonts w:ascii="Arial" w:hAnsi="Arial" w:cs="Arial"/>
                <w:sz w:val="20"/>
              </w:rPr>
              <w:t>Indicates the carrier for which the SL is valid in case of multi-carrier scheduling</w:t>
            </w:r>
          </w:p>
        </w:tc>
        <w:tc>
          <w:tcPr>
            <w:tcW w:w="1721" w:type="dxa"/>
          </w:tcPr>
          <w:p w14:paraId="2DED96DF" w14:textId="77777777" w:rsidR="00E20E3A" w:rsidRPr="00E20E3A" w:rsidRDefault="00E20E3A" w:rsidP="00E20E3A">
            <w:pPr>
              <w:rPr>
                <w:rFonts w:ascii="Arial" w:hAnsi="Arial" w:cs="Arial"/>
                <w:sz w:val="20"/>
              </w:rPr>
            </w:pPr>
            <w:r w:rsidRPr="00E20E3A">
              <w:rPr>
                <w:rFonts w:ascii="Arial" w:hAnsi="Arial" w:cs="Arial"/>
                <w:sz w:val="20"/>
              </w:rPr>
              <w:t>3</w:t>
            </w:r>
          </w:p>
        </w:tc>
        <w:tc>
          <w:tcPr>
            <w:tcW w:w="2794" w:type="dxa"/>
          </w:tcPr>
          <w:p w14:paraId="0EC1A449" w14:textId="77777777" w:rsidR="00E20E3A" w:rsidRPr="00E20E3A" w:rsidRDefault="00E20E3A" w:rsidP="00E20E3A">
            <w:pPr>
              <w:rPr>
                <w:rFonts w:ascii="Arial" w:hAnsi="Arial" w:cs="Arial"/>
                <w:sz w:val="20"/>
              </w:rPr>
            </w:pPr>
          </w:p>
        </w:tc>
      </w:tr>
      <w:tr w:rsidR="00E20E3A" w:rsidRPr="00E20E3A" w14:paraId="553FF084" w14:textId="77777777" w:rsidTr="00911932">
        <w:tc>
          <w:tcPr>
            <w:tcW w:w="2553" w:type="dxa"/>
          </w:tcPr>
          <w:p w14:paraId="5B3EB8A5" w14:textId="72E5181A" w:rsidR="00E20E3A" w:rsidRPr="00E20E3A" w:rsidRDefault="0038722E" w:rsidP="0038722E">
            <w:pPr>
              <w:rPr>
                <w:rFonts w:ascii="Arial" w:hAnsi="Arial" w:cs="Arial"/>
                <w:sz w:val="20"/>
              </w:rPr>
            </w:pPr>
            <w:r>
              <w:rPr>
                <w:rFonts w:ascii="Arial" w:hAnsi="Arial" w:cs="Arial"/>
                <w:sz w:val="20"/>
              </w:rPr>
              <w:t>PSSCH r</w:t>
            </w:r>
            <w:r w:rsidR="00E20E3A" w:rsidRPr="00E20E3A">
              <w:rPr>
                <w:rFonts w:ascii="Arial" w:hAnsi="Arial" w:cs="Arial"/>
                <w:sz w:val="20"/>
              </w:rPr>
              <w:t xml:space="preserve">esource </w:t>
            </w:r>
            <w:r>
              <w:rPr>
                <w:rFonts w:ascii="Arial" w:hAnsi="Arial" w:cs="Arial"/>
                <w:sz w:val="20"/>
              </w:rPr>
              <w:t>assignment</w:t>
            </w:r>
          </w:p>
        </w:tc>
        <w:tc>
          <w:tcPr>
            <w:tcW w:w="2561" w:type="dxa"/>
          </w:tcPr>
          <w:p w14:paraId="103E8722" w14:textId="59DAA48A" w:rsidR="00E20E3A" w:rsidRPr="00E20E3A" w:rsidRDefault="00E20E3A" w:rsidP="00E20E3A">
            <w:pPr>
              <w:rPr>
                <w:rFonts w:ascii="Arial" w:hAnsi="Arial" w:cs="Arial"/>
                <w:sz w:val="20"/>
              </w:rPr>
            </w:pPr>
            <w:r w:rsidRPr="00E20E3A">
              <w:rPr>
                <w:rFonts w:ascii="Arial" w:hAnsi="Arial" w:cs="Arial"/>
                <w:sz w:val="20"/>
              </w:rPr>
              <w:t xml:space="preserve">Transmit resource allocation pattern </w:t>
            </w:r>
            <w:r w:rsidR="0038722E">
              <w:rPr>
                <w:rFonts w:ascii="Arial" w:hAnsi="Arial" w:cs="Arial"/>
                <w:sz w:val="20"/>
              </w:rPr>
              <w:t xml:space="preserve">for PSSCH </w:t>
            </w:r>
            <w:r w:rsidRPr="00E20E3A">
              <w:rPr>
                <w:rFonts w:ascii="Arial" w:hAnsi="Arial" w:cs="Arial"/>
                <w:sz w:val="20"/>
              </w:rPr>
              <w:t>in time / frequency</w:t>
            </w:r>
          </w:p>
        </w:tc>
        <w:tc>
          <w:tcPr>
            <w:tcW w:w="1721" w:type="dxa"/>
          </w:tcPr>
          <w:p w14:paraId="49D2DA20" w14:textId="77777777" w:rsidR="00E20E3A" w:rsidRPr="00E20E3A" w:rsidRDefault="00E20E3A" w:rsidP="00E20E3A">
            <w:pPr>
              <w:rPr>
                <w:rFonts w:ascii="Arial" w:hAnsi="Arial" w:cs="Arial"/>
                <w:sz w:val="20"/>
              </w:rPr>
            </w:pPr>
            <w:r w:rsidRPr="00E20E3A">
              <w:rPr>
                <w:rFonts w:ascii="Arial" w:hAnsi="Arial" w:cs="Arial"/>
                <w:sz w:val="20"/>
              </w:rPr>
              <w:t>Max 14</w:t>
            </w:r>
          </w:p>
        </w:tc>
        <w:tc>
          <w:tcPr>
            <w:tcW w:w="2794" w:type="dxa"/>
          </w:tcPr>
          <w:p w14:paraId="3906CEFF" w14:textId="77777777" w:rsidR="00E20E3A" w:rsidRPr="00E20E3A" w:rsidRDefault="00E20E3A" w:rsidP="00E20E3A">
            <w:pPr>
              <w:rPr>
                <w:rFonts w:ascii="Arial" w:hAnsi="Arial" w:cs="Arial"/>
                <w:sz w:val="20"/>
              </w:rPr>
            </w:pPr>
            <w:r w:rsidRPr="00E20E3A">
              <w:rPr>
                <w:rFonts w:ascii="Arial" w:hAnsi="Arial" w:cs="Arial"/>
                <w:sz w:val="20"/>
              </w:rPr>
              <w:t>Size determined by RB width of PSSCH allocation subband and number of re-transmissions</w:t>
            </w:r>
          </w:p>
        </w:tc>
      </w:tr>
      <w:tr w:rsidR="00E20E3A" w:rsidRPr="00E20E3A" w14:paraId="3D39086B" w14:textId="77777777" w:rsidTr="00911932">
        <w:tc>
          <w:tcPr>
            <w:tcW w:w="2553" w:type="dxa"/>
          </w:tcPr>
          <w:p w14:paraId="10FAD6AA" w14:textId="73A9E8A1" w:rsidR="00E20E3A" w:rsidRPr="00E20E3A" w:rsidRDefault="00CC77D6" w:rsidP="00CC77D6">
            <w:pPr>
              <w:rPr>
                <w:rFonts w:ascii="Arial" w:hAnsi="Arial" w:cs="Arial"/>
                <w:sz w:val="20"/>
              </w:rPr>
            </w:pPr>
            <w:r>
              <w:rPr>
                <w:rFonts w:ascii="Arial" w:hAnsi="Arial" w:cs="Arial"/>
                <w:sz w:val="20"/>
              </w:rPr>
              <w:t>SPS process</w:t>
            </w:r>
            <w:r w:rsidR="00DC4A12">
              <w:rPr>
                <w:rFonts w:ascii="Arial" w:hAnsi="Arial" w:cs="Arial"/>
                <w:sz w:val="20"/>
              </w:rPr>
              <w:t xml:space="preserve"> activation</w:t>
            </w:r>
          </w:p>
        </w:tc>
        <w:tc>
          <w:tcPr>
            <w:tcW w:w="2561" w:type="dxa"/>
          </w:tcPr>
          <w:p w14:paraId="020A0204" w14:textId="40A312A3" w:rsidR="00E20E3A" w:rsidRPr="00E20E3A" w:rsidRDefault="00CC77D6" w:rsidP="00DC4A12">
            <w:pPr>
              <w:rPr>
                <w:rFonts w:ascii="Arial" w:hAnsi="Arial" w:cs="Arial"/>
                <w:sz w:val="20"/>
              </w:rPr>
            </w:pPr>
            <w:r>
              <w:rPr>
                <w:rFonts w:ascii="Arial" w:hAnsi="Arial" w:cs="Arial"/>
                <w:sz w:val="20"/>
              </w:rPr>
              <w:t xml:space="preserve">Bitmap with 1 bit for </w:t>
            </w:r>
            <w:r w:rsidR="00DC4A12">
              <w:rPr>
                <w:rFonts w:ascii="Arial" w:hAnsi="Arial" w:cs="Arial"/>
                <w:sz w:val="20"/>
              </w:rPr>
              <w:t xml:space="preserve">each </w:t>
            </w:r>
            <w:r>
              <w:rPr>
                <w:rFonts w:ascii="Arial" w:hAnsi="Arial" w:cs="Arial"/>
                <w:sz w:val="20"/>
              </w:rPr>
              <w:t>RRC configured RRC process</w:t>
            </w:r>
            <w:r w:rsidR="00DC4A12">
              <w:rPr>
                <w:rFonts w:ascii="Arial" w:hAnsi="Arial" w:cs="Arial"/>
                <w:sz w:val="20"/>
              </w:rPr>
              <w:t xml:space="preserve"> in sequential order</w:t>
            </w:r>
          </w:p>
        </w:tc>
        <w:tc>
          <w:tcPr>
            <w:tcW w:w="1721" w:type="dxa"/>
          </w:tcPr>
          <w:p w14:paraId="54FC0727" w14:textId="5136A9AB" w:rsidR="00E20E3A" w:rsidRPr="00E20E3A" w:rsidRDefault="00CC77D6" w:rsidP="00E20E3A">
            <w:pPr>
              <w:rPr>
                <w:rFonts w:ascii="Arial" w:hAnsi="Arial" w:cs="Arial"/>
                <w:sz w:val="20"/>
              </w:rPr>
            </w:pPr>
            <w:r>
              <w:rPr>
                <w:rFonts w:ascii="Arial" w:hAnsi="Arial" w:cs="Arial"/>
                <w:sz w:val="20"/>
              </w:rPr>
              <w:t>Max 14</w:t>
            </w:r>
          </w:p>
        </w:tc>
        <w:tc>
          <w:tcPr>
            <w:tcW w:w="2794" w:type="dxa"/>
          </w:tcPr>
          <w:p w14:paraId="63AB49BF" w14:textId="77777777" w:rsidR="00E20E3A" w:rsidRPr="00E20E3A" w:rsidRDefault="00E20E3A" w:rsidP="00E20E3A">
            <w:pPr>
              <w:rPr>
                <w:rFonts w:ascii="Arial" w:hAnsi="Arial" w:cs="Arial"/>
                <w:sz w:val="20"/>
              </w:rPr>
            </w:pPr>
          </w:p>
        </w:tc>
      </w:tr>
    </w:tbl>
    <w:p w14:paraId="05E4848D" w14:textId="77777777" w:rsidR="0035706B" w:rsidRDefault="0035706B" w:rsidP="00FD131C">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033AC6EF" w14:textId="77777777" w:rsidR="00F13316" w:rsidRDefault="00F13316" w:rsidP="00F13316">
      <w:pPr>
        <w:spacing w:after="120"/>
        <w:jc w:val="both"/>
        <w:rPr>
          <w:rFonts w:ascii="Arial" w:hAnsi="Arial" w:cs="Arial"/>
          <w:sz w:val="20"/>
        </w:rPr>
      </w:pPr>
      <w:r>
        <w:rPr>
          <w:rFonts w:ascii="Arial" w:hAnsi="Arial" w:cs="Arial"/>
          <w:sz w:val="20"/>
        </w:rPr>
        <w:t>In this contribution we discuss the contents of DL control information in eNB scheduled (Mode 1) resource allocation for the purpose of triggering/releasing different SPS configurations, i.e. the R14 V2V SPS activation command.</w:t>
      </w:r>
    </w:p>
    <w:p w14:paraId="3A0E162F" w14:textId="55FD0D26" w:rsidR="00F13316" w:rsidRDefault="00F13316" w:rsidP="00F13316">
      <w:pPr>
        <w:spacing w:after="120"/>
        <w:jc w:val="both"/>
        <w:rPr>
          <w:rFonts w:ascii="Arial" w:hAnsi="Arial" w:cs="Arial"/>
          <w:sz w:val="20"/>
        </w:rPr>
      </w:pPr>
      <w:r>
        <w:rPr>
          <w:rFonts w:ascii="Arial" w:hAnsi="Arial" w:cs="Arial"/>
          <w:sz w:val="20"/>
        </w:rPr>
        <w:t>In summary, we recommend to adopt the following proposals:</w:t>
      </w:r>
    </w:p>
    <w:p w14:paraId="015A3562" w14:textId="77777777" w:rsidR="005E350F" w:rsidRPr="007F5BB5" w:rsidRDefault="005E350F" w:rsidP="005E350F">
      <w:pPr>
        <w:spacing w:after="0"/>
        <w:jc w:val="both"/>
        <w:rPr>
          <w:rFonts w:ascii="Arial" w:hAnsi="Arial" w:cs="Arial"/>
          <w:b/>
          <w:sz w:val="20"/>
        </w:rPr>
      </w:pPr>
      <w:r>
        <w:rPr>
          <w:rFonts w:ascii="Arial" w:hAnsi="Arial" w:cs="Arial"/>
          <w:b/>
          <w:sz w:val="20"/>
        </w:rPr>
        <w:t>Proposal 1</w:t>
      </w:r>
      <w:r w:rsidRPr="007F5BB5">
        <w:rPr>
          <w:rFonts w:ascii="Arial" w:hAnsi="Arial" w:cs="Arial"/>
          <w:b/>
          <w:sz w:val="20"/>
        </w:rPr>
        <w:t>:</w:t>
      </w:r>
    </w:p>
    <w:p w14:paraId="7CBEA593" w14:textId="77777777" w:rsidR="005E350F" w:rsidRPr="007F5BB5" w:rsidRDefault="005E350F" w:rsidP="005E350F">
      <w:pPr>
        <w:jc w:val="both"/>
        <w:rPr>
          <w:rFonts w:ascii="Arial" w:hAnsi="Arial" w:cs="Arial"/>
          <w:i/>
          <w:sz w:val="20"/>
        </w:rPr>
      </w:pPr>
      <w:r>
        <w:rPr>
          <w:rFonts w:ascii="Arial" w:hAnsi="Arial" w:cs="Arial"/>
          <w:i/>
          <w:sz w:val="20"/>
        </w:rPr>
        <w:t>The R14 V2V SPS sidelink grant DCI uses the same payload size as the R12/R14 sidelink grant.</w:t>
      </w:r>
    </w:p>
    <w:p w14:paraId="26430022" w14:textId="77777777" w:rsidR="005E350F" w:rsidRPr="005F0FA6" w:rsidRDefault="005E350F" w:rsidP="005E350F">
      <w:pPr>
        <w:spacing w:after="0"/>
        <w:jc w:val="both"/>
        <w:rPr>
          <w:rFonts w:ascii="Arial" w:hAnsi="Arial" w:cs="Arial"/>
          <w:b/>
          <w:sz w:val="20"/>
        </w:rPr>
      </w:pPr>
      <w:r>
        <w:rPr>
          <w:rFonts w:ascii="Arial" w:hAnsi="Arial" w:cs="Arial"/>
          <w:b/>
          <w:sz w:val="20"/>
        </w:rPr>
        <w:t>Proposal 2:</w:t>
      </w:r>
    </w:p>
    <w:p w14:paraId="7368D5B7" w14:textId="77777777" w:rsidR="005E350F" w:rsidRPr="005F0FA6" w:rsidRDefault="005E350F" w:rsidP="005E350F">
      <w:pPr>
        <w:jc w:val="both"/>
        <w:rPr>
          <w:rFonts w:ascii="Arial" w:hAnsi="Arial" w:cs="Arial"/>
          <w:i/>
          <w:sz w:val="20"/>
        </w:rPr>
      </w:pPr>
      <w:r w:rsidRPr="005F0FA6">
        <w:rPr>
          <w:rFonts w:ascii="Arial" w:hAnsi="Arial" w:cs="Arial"/>
          <w:i/>
          <w:sz w:val="20"/>
        </w:rPr>
        <w:t>Up to 64 different SPS configuration are defined. Each corresponds to a particular combination of payload size (200 vs. 300 bytes)</w:t>
      </w:r>
      <w:r>
        <w:rPr>
          <w:rFonts w:ascii="Arial" w:hAnsi="Arial" w:cs="Arial"/>
          <w:i/>
          <w:sz w:val="20"/>
        </w:rPr>
        <w:t xml:space="preserve">, </w:t>
      </w:r>
      <w:r w:rsidRPr="005F0FA6">
        <w:rPr>
          <w:rFonts w:ascii="Arial" w:hAnsi="Arial" w:cs="Arial"/>
          <w:i/>
          <w:sz w:val="20"/>
        </w:rPr>
        <w:t xml:space="preserve">allocation periodicity </w:t>
      </w:r>
      <w:r>
        <w:rPr>
          <w:rFonts w:ascii="Arial" w:hAnsi="Arial" w:cs="Arial"/>
          <w:i/>
          <w:sz w:val="20"/>
        </w:rPr>
        <w:t xml:space="preserve">(80, 160, 320, 640 ms), a </w:t>
      </w:r>
      <w:r w:rsidRPr="005F0FA6">
        <w:rPr>
          <w:rFonts w:ascii="Arial" w:hAnsi="Arial" w:cs="Arial"/>
          <w:i/>
          <w:sz w:val="20"/>
        </w:rPr>
        <w:t xml:space="preserve">time-staggered </w:t>
      </w:r>
      <w:r>
        <w:rPr>
          <w:rFonts w:ascii="Arial" w:hAnsi="Arial" w:cs="Arial"/>
          <w:i/>
          <w:sz w:val="20"/>
        </w:rPr>
        <w:t xml:space="preserve">starting </w:t>
      </w:r>
      <w:r w:rsidRPr="005F0FA6">
        <w:rPr>
          <w:rFonts w:ascii="Arial" w:hAnsi="Arial" w:cs="Arial"/>
          <w:i/>
          <w:sz w:val="20"/>
        </w:rPr>
        <w:t xml:space="preserve">offset </w:t>
      </w:r>
      <w:r>
        <w:rPr>
          <w:rFonts w:ascii="Arial" w:hAnsi="Arial" w:cs="Arial"/>
          <w:i/>
          <w:sz w:val="20"/>
        </w:rPr>
        <w:t>with granularity 80 ms and may include an SPS configuration specific MCS set.</w:t>
      </w:r>
    </w:p>
    <w:p w14:paraId="1991F140" w14:textId="77777777" w:rsidR="005E350F" w:rsidRPr="007F5BB5" w:rsidRDefault="005E350F" w:rsidP="005E350F">
      <w:pPr>
        <w:spacing w:after="0"/>
        <w:jc w:val="both"/>
        <w:rPr>
          <w:rFonts w:ascii="Arial" w:hAnsi="Arial" w:cs="Arial"/>
          <w:b/>
          <w:sz w:val="20"/>
        </w:rPr>
      </w:pPr>
      <w:r>
        <w:rPr>
          <w:rFonts w:ascii="Arial" w:hAnsi="Arial" w:cs="Arial"/>
          <w:b/>
          <w:sz w:val="20"/>
        </w:rPr>
        <w:t>Proposal 3</w:t>
      </w:r>
      <w:r w:rsidRPr="007F5BB5">
        <w:rPr>
          <w:rFonts w:ascii="Arial" w:hAnsi="Arial" w:cs="Arial"/>
          <w:b/>
          <w:sz w:val="20"/>
        </w:rPr>
        <w:t>:</w:t>
      </w:r>
    </w:p>
    <w:p w14:paraId="0EE0E345" w14:textId="77777777" w:rsidR="005E350F" w:rsidRDefault="005E350F" w:rsidP="005E350F">
      <w:pPr>
        <w:jc w:val="both"/>
        <w:rPr>
          <w:rFonts w:ascii="Arial" w:hAnsi="Arial" w:cs="Arial"/>
          <w:i/>
          <w:sz w:val="20"/>
        </w:rPr>
      </w:pPr>
      <w:r>
        <w:rPr>
          <w:rFonts w:ascii="Arial" w:hAnsi="Arial" w:cs="Arial"/>
          <w:i/>
          <w:sz w:val="20"/>
        </w:rPr>
        <w:t xml:space="preserve">Up to 14 concurrent </w:t>
      </w:r>
      <w:r w:rsidRPr="007F5BB5">
        <w:rPr>
          <w:rFonts w:ascii="Arial" w:hAnsi="Arial" w:cs="Arial"/>
          <w:i/>
          <w:sz w:val="20"/>
        </w:rPr>
        <w:t xml:space="preserve">SPS </w:t>
      </w:r>
      <w:r>
        <w:rPr>
          <w:rFonts w:ascii="Arial" w:hAnsi="Arial" w:cs="Arial"/>
          <w:i/>
          <w:sz w:val="20"/>
        </w:rPr>
        <w:t>processes</w:t>
      </w:r>
      <w:r w:rsidRPr="007F5BB5">
        <w:rPr>
          <w:rFonts w:ascii="Arial" w:hAnsi="Arial" w:cs="Arial"/>
          <w:i/>
          <w:sz w:val="20"/>
        </w:rPr>
        <w:t xml:space="preserve"> can be activated </w:t>
      </w:r>
      <w:r>
        <w:rPr>
          <w:rFonts w:ascii="Arial" w:hAnsi="Arial" w:cs="Arial"/>
          <w:i/>
          <w:sz w:val="20"/>
        </w:rPr>
        <w:t xml:space="preserve">simultaneously </w:t>
      </w:r>
      <w:r w:rsidRPr="007F5BB5">
        <w:rPr>
          <w:rFonts w:ascii="Arial" w:hAnsi="Arial" w:cs="Arial"/>
          <w:i/>
          <w:sz w:val="20"/>
        </w:rPr>
        <w:t>by the eNB</w:t>
      </w:r>
      <w:r>
        <w:rPr>
          <w:rFonts w:ascii="Arial" w:hAnsi="Arial" w:cs="Arial"/>
          <w:i/>
          <w:sz w:val="20"/>
        </w:rPr>
        <w:t xml:space="preserve"> using a bitmap in the R14 sidelink grant DCI format</w:t>
      </w:r>
      <w:r w:rsidRPr="007F5BB5">
        <w:rPr>
          <w:rFonts w:ascii="Arial" w:hAnsi="Arial" w:cs="Arial"/>
          <w:i/>
          <w:sz w:val="20"/>
        </w:rPr>
        <w:t>.</w:t>
      </w:r>
      <w:r>
        <w:rPr>
          <w:rFonts w:ascii="Arial" w:hAnsi="Arial" w:cs="Arial"/>
          <w:i/>
          <w:sz w:val="20"/>
        </w:rPr>
        <w:t xml:space="preserve"> A particular SPS process is configured through RRC and is selected from the set of 64 different SPS configurations.</w:t>
      </w:r>
    </w:p>
    <w:p w14:paraId="4B510175" w14:textId="77777777" w:rsidR="005E350F" w:rsidRPr="007F5BB5" w:rsidRDefault="005E350F" w:rsidP="005E350F">
      <w:pPr>
        <w:spacing w:after="0"/>
        <w:jc w:val="both"/>
        <w:rPr>
          <w:rFonts w:ascii="Arial" w:hAnsi="Arial" w:cs="Arial"/>
          <w:b/>
          <w:sz w:val="20"/>
        </w:rPr>
      </w:pPr>
      <w:r>
        <w:rPr>
          <w:rFonts w:ascii="Arial" w:hAnsi="Arial" w:cs="Arial"/>
          <w:b/>
          <w:sz w:val="20"/>
        </w:rPr>
        <w:t>Proposal 4</w:t>
      </w:r>
      <w:r w:rsidRPr="007F5BB5">
        <w:rPr>
          <w:rFonts w:ascii="Arial" w:hAnsi="Arial" w:cs="Arial"/>
          <w:b/>
          <w:sz w:val="20"/>
        </w:rPr>
        <w:t>:</w:t>
      </w:r>
    </w:p>
    <w:p w14:paraId="7DB1D285" w14:textId="77777777" w:rsidR="005E350F" w:rsidRDefault="005E350F" w:rsidP="005E350F">
      <w:pPr>
        <w:jc w:val="both"/>
        <w:rPr>
          <w:rFonts w:ascii="Arial" w:hAnsi="Arial" w:cs="Arial"/>
          <w:i/>
          <w:sz w:val="20"/>
        </w:rPr>
      </w:pPr>
      <w:r>
        <w:rPr>
          <w:rFonts w:ascii="Arial" w:hAnsi="Arial" w:cs="Arial"/>
          <w:i/>
          <w:sz w:val="20"/>
        </w:rPr>
        <w:t>An SPS activation command decoded by the UE implicitly de-activates all other SPS processes not indicated by the received SPS activation command.</w:t>
      </w:r>
    </w:p>
    <w:p w14:paraId="16D21FCA" w14:textId="267B7630" w:rsidR="005E350F" w:rsidRPr="007F5BB5" w:rsidRDefault="005E350F" w:rsidP="005E350F">
      <w:pPr>
        <w:spacing w:after="0"/>
        <w:jc w:val="both"/>
        <w:rPr>
          <w:rFonts w:ascii="Arial" w:hAnsi="Arial" w:cs="Arial"/>
          <w:b/>
          <w:sz w:val="20"/>
        </w:rPr>
      </w:pPr>
      <w:r>
        <w:rPr>
          <w:rFonts w:ascii="Arial" w:hAnsi="Arial" w:cs="Arial"/>
          <w:b/>
          <w:sz w:val="20"/>
        </w:rPr>
        <w:t>Proposal 5</w:t>
      </w:r>
      <w:r w:rsidRPr="007F5BB5">
        <w:rPr>
          <w:rFonts w:ascii="Arial" w:hAnsi="Arial" w:cs="Arial"/>
          <w:b/>
          <w:sz w:val="20"/>
        </w:rPr>
        <w:t>:</w:t>
      </w:r>
    </w:p>
    <w:p w14:paraId="161A58EF" w14:textId="590E178E" w:rsidR="005E350F" w:rsidRDefault="005E350F" w:rsidP="005E350F">
      <w:pPr>
        <w:jc w:val="both"/>
        <w:rPr>
          <w:rFonts w:ascii="Arial" w:hAnsi="Arial" w:cs="Arial"/>
          <w:i/>
          <w:sz w:val="20"/>
        </w:rPr>
      </w:pPr>
      <w:r>
        <w:rPr>
          <w:rFonts w:ascii="Arial" w:hAnsi="Arial" w:cs="Arial"/>
          <w:i/>
          <w:sz w:val="20"/>
        </w:rPr>
        <w:t>Adopt the contents of Table 1 for the R14 DCI format in Mode 1.</w:t>
      </w:r>
    </w:p>
    <w:p w14:paraId="57545357" w14:textId="77777777" w:rsidR="005E350F" w:rsidRDefault="005E350F" w:rsidP="005E350F">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7C115277"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R1-167586</w:t>
      </w:r>
      <w:r>
        <w:rPr>
          <w:rFonts w:ascii="Arial" w:hAnsi="Arial" w:cs="Arial"/>
          <w:sz w:val="20"/>
        </w:rPr>
        <w:tab/>
        <w:t>Resource selection using SA decoding and energy measurements; InterDigital</w:t>
      </w:r>
    </w:p>
    <w:p w14:paraId="3F95A248"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R1-167587</w:t>
      </w:r>
      <w:r>
        <w:rPr>
          <w:rFonts w:ascii="Arial" w:hAnsi="Arial" w:cs="Arial"/>
          <w:sz w:val="20"/>
        </w:rPr>
        <w:tab/>
        <w:t>Priority handling for V2V over PC5; InterDigital</w:t>
      </w:r>
    </w:p>
    <w:p w14:paraId="6A7F7228"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R1-167588</w:t>
      </w:r>
      <w:r>
        <w:rPr>
          <w:rFonts w:ascii="Arial" w:hAnsi="Arial" w:cs="Arial"/>
          <w:sz w:val="20"/>
        </w:rPr>
        <w:tab/>
        <w:t>Forward reservation of resources on PSCCH; InterDigital</w:t>
      </w:r>
    </w:p>
    <w:p w14:paraId="00BF625E"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lastRenderedPageBreak/>
        <w:t>R1-167590</w:t>
      </w:r>
      <w:r>
        <w:rPr>
          <w:rFonts w:ascii="Arial" w:hAnsi="Arial" w:cs="Arial"/>
          <w:sz w:val="20"/>
        </w:rPr>
        <w:tab/>
        <w:t>SCI contents for R14 V2V; InterDigital</w:t>
      </w:r>
    </w:p>
    <w:p w14:paraId="492D698B"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R1-167591</w:t>
      </w:r>
      <w:r>
        <w:rPr>
          <w:rFonts w:ascii="Arial" w:hAnsi="Arial" w:cs="Arial"/>
          <w:sz w:val="20"/>
        </w:rPr>
        <w:tab/>
        <w:t>Coexistence of PC5-based V2V and legacy Uu operation; InterDigital</w:t>
      </w:r>
    </w:p>
    <w:p w14:paraId="6E36D894" w14:textId="77777777" w:rsid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R1-167592</w:t>
      </w:r>
      <w:r>
        <w:rPr>
          <w:rFonts w:ascii="Arial" w:hAnsi="Arial" w:cs="Arial"/>
          <w:sz w:val="20"/>
        </w:rPr>
        <w:tab/>
        <w:t>Priority order of synchronization sources; InterDigital</w:t>
      </w:r>
    </w:p>
    <w:p w14:paraId="491F9E53" w14:textId="77777777" w:rsidR="00937A96" w:rsidRDefault="00937A96" w:rsidP="00937A96">
      <w:pPr>
        <w:pStyle w:val="Reference"/>
        <w:numPr>
          <w:ilvl w:val="0"/>
          <w:numId w:val="48"/>
        </w:numPr>
        <w:spacing w:line="256" w:lineRule="auto"/>
        <w:jc w:val="both"/>
        <w:rPr>
          <w:rFonts w:ascii="Arial" w:hAnsi="Arial" w:cs="Arial"/>
          <w:sz w:val="20"/>
        </w:rPr>
      </w:pPr>
      <w:r>
        <w:rPr>
          <w:rFonts w:ascii="Arial" w:hAnsi="Arial" w:cs="Arial"/>
          <w:sz w:val="20"/>
        </w:rPr>
        <w:t>R1-165040</w:t>
      </w:r>
      <w:r>
        <w:rPr>
          <w:rFonts w:ascii="Arial" w:hAnsi="Arial" w:cs="Arial"/>
          <w:sz w:val="20"/>
        </w:rPr>
        <w:tab/>
        <w:t>On priority handling for V2V; InterDigital</w:t>
      </w:r>
    </w:p>
    <w:p w14:paraId="159CAACB" w14:textId="2BCDB778" w:rsidR="00A562F1" w:rsidRPr="00937A96" w:rsidRDefault="00937A96" w:rsidP="00937A96">
      <w:pPr>
        <w:pStyle w:val="Reference"/>
        <w:numPr>
          <w:ilvl w:val="0"/>
          <w:numId w:val="48"/>
        </w:numPr>
        <w:spacing w:line="256" w:lineRule="auto"/>
        <w:rPr>
          <w:rFonts w:ascii="Arial" w:hAnsi="Arial" w:cs="Arial"/>
          <w:sz w:val="20"/>
        </w:rPr>
      </w:pPr>
      <w:r>
        <w:rPr>
          <w:rFonts w:ascii="Arial" w:hAnsi="Arial" w:cs="Arial"/>
          <w:sz w:val="20"/>
        </w:rPr>
        <w:t>R1-165039</w:t>
      </w:r>
      <w:r>
        <w:rPr>
          <w:rFonts w:ascii="Arial" w:hAnsi="Arial" w:cs="Arial"/>
          <w:sz w:val="20"/>
        </w:rPr>
        <w:tab/>
        <w:t>On sensing with SA decoding and energy measurement for V2V; InterDigital</w:t>
      </w:r>
    </w:p>
    <w:sectPr w:rsidR="00A562F1" w:rsidRPr="00937A96" w:rsidSect="00D55085">
      <w:headerReference w:type="even" r:id="rId8"/>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ACE0D" w14:textId="77777777" w:rsidR="0027280F" w:rsidRDefault="0027280F">
      <w:r>
        <w:separator/>
      </w:r>
    </w:p>
  </w:endnote>
  <w:endnote w:type="continuationSeparator" w:id="0">
    <w:p w14:paraId="10F073E3" w14:textId="77777777" w:rsidR="0027280F" w:rsidRDefault="0027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506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506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851B3" w14:textId="77777777" w:rsidR="0027280F" w:rsidRDefault="0027280F">
      <w:r>
        <w:separator/>
      </w:r>
    </w:p>
  </w:footnote>
  <w:footnote w:type="continuationSeparator" w:id="0">
    <w:p w14:paraId="0CEE5F5B" w14:textId="77777777" w:rsidR="0027280F" w:rsidRDefault="00272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A759ED"/>
    <w:multiLevelType w:val="hybridMultilevel"/>
    <w:tmpl w:val="388E0600"/>
    <w:lvl w:ilvl="0" w:tplc="2B56D95C">
      <w:start w:val="1"/>
      <w:numFmt w:val="bullet"/>
      <w:lvlText w:val="•"/>
      <w:lvlJc w:val="left"/>
      <w:pPr>
        <w:tabs>
          <w:tab w:val="num" w:pos="720"/>
        </w:tabs>
        <w:ind w:left="720" w:hanging="360"/>
      </w:pPr>
      <w:rPr>
        <w:rFonts w:ascii="Arial" w:hAnsi="Arial" w:cs="Times New Roman" w:hint="default"/>
      </w:rPr>
    </w:lvl>
    <w:lvl w:ilvl="1" w:tplc="2F1479D0">
      <w:numFmt w:val="bullet"/>
      <w:lvlText w:val="–"/>
      <w:lvlJc w:val="left"/>
      <w:pPr>
        <w:tabs>
          <w:tab w:val="num" w:pos="1440"/>
        </w:tabs>
        <w:ind w:left="1440" w:hanging="360"/>
      </w:pPr>
      <w:rPr>
        <w:rFonts w:ascii="Arial" w:hAnsi="Arial" w:cs="Times New Roman" w:hint="default"/>
      </w:rPr>
    </w:lvl>
    <w:lvl w:ilvl="2" w:tplc="8F5C536A">
      <w:numFmt w:val="bullet"/>
      <w:lvlText w:val="•"/>
      <w:lvlJc w:val="left"/>
      <w:pPr>
        <w:tabs>
          <w:tab w:val="num" w:pos="2160"/>
        </w:tabs>
        <w:ind w:left="2160" w:hanging="360"/>
      </w:pPr>
      <w:rPr>
        <w:rFonts w:ascii="Arial" w:hAnsi="Arial" w:cs="Times New Roman" w:hint="default"/>
      </w:rPr>
    </w:lvl>
    <w:lvl w:ilvl="3" w:tplc="A0487808">
      <w:start w:val="1"/>
      <w:numFmt w:val="bullet"/>
      <w:lvlText w:val="•"/>
      <w:lvlJc w:val="left"/>
      <w:pPr>
        <w:tabs>
          <w:tab w:val="num" w:pos="2880"/>
        </w:tabs>
        <w:ind w:left="2880" w:hanging="360"/>
      </w:pPr>
      <w:rPr>
        <w:rFonts w:ascii="Arial" w:hAnsi="Arial" w:cs="Times New Roman" w:hint="default"/>
      </w:rPr>
    </w:lvl>
    <w:lvl w:ilvl="4" w:tplc="6486F09C">
      <w:start w:val="1"/>
      <w:numFmt w:val="bullet"/>
      <w:lvlText w:val="•"/>
      <w:lvlJc w:val="left"/>
      <w:pPr>
        <w:tabs>
          <w:tab w:val="num" w:pos="3600"/>
        </w:tabs>
        <w:ind w:left="3600" w:hanging="360"/>
      </w:pPr>
      <w:rPr>
        <w:rFonts w:ascii="Arial" w:hAnsi="Arial" w:cs="Times New Roman" w:hint="default"/>
      </w:rPr>
    </w:lvl>
    <w:lvl w:ilvl="5" w:tplc="59F6C694">
      <w:start w:val="1"/>
      <w:numFmt w:val="bullet"/>
      <w:lvlText w:val="•"/>
      <w:lvlJc w:val="left"/>
      <w:pPr>
        <w:tabs>
          <w:tab w:val="num" w:pos="4320"/>
        </w:tabs>
        <w:ind w:left="4320" w:hanging="360"/>
      </w:pPr>
      <w:rPr>
        <w:rFonts w:ascii="Arial" w:hAnsi="Arial" w:cs="Times New Roman" w:hint="default"/>
      </w:rPr>
    </w:lvl>
    <w:lvl w:ilvl="6" w:tplc="BAEEDEB6">
      <w:start w:val="1"/>
      <w:numFmt w:val="bullet"/>
      <w:lvlText w:val="•"/>
      <w:lvlJc w:val="left"/>
      <w:pPr>
        <w:tabs>
          <w:tab w:val="num" w:pos="5040"/>
        </w:tabs>
        <w:ind w:left="5040" w:hanging="360"/>
      </w:pPr>
      <w:rPr>
        <w:rFonts w:ascii="Arial" w:hAnsi="Arial" w:cs="Times New Roman" w:hint="default"/>
      </w:rPr>
    </w:lvl>
    <w:lvl w:ilvl="7" w:tplc="78223166">
      <w:start w:val="1"/>
      <w:numFmt w:val="bullet"/>
      <w:lvlText w:val="•"/>
      <w:lvlJc w:val="left"/>
      <w:pPr>
        <w:tabs>
          <w:tab w:val="num" w:pos="5760"/>
        </w:tabs>
        <w:ind w:left="5760" w:hanging="360"/>
      </w:pPr>
      <w:rPr>
        <w:rFonts w:ascii="Arial" w:hAnsi="Arial" w:cs="Times New Roman" w:hint="default"/>
      </w:rPr>
    </w:lvl>
    <w:lvl w:ilvl="8" w:tplc="9B466AD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5"/>
  </w:num>
  <w:num w:numId="4">
    <w:abstractNumId w:val="16"/>
  </w:num>
  <w:num w:numId="5">
    <w:abstractNumId w:val="11"/>
  </w:num>
  <w:num w:numId="6">
    <w:abstractNumId w:val="19"/>
  </w:num>
  <w:num w:numId="7">
    <w:abstractNumId w:val="28"/>
  </w:num>
  <w:num w:numId="8">
    <w:abstractNumId w:val="12"/>
  </w:num>
  <w:num w:numId="9">
    <w:abstractNumId w:val="38"/>
  </w:num>
  <w:num w:numId="10">
    <w:abstractNumId w:val="31"/>
  </w:num>
  <w:num w:numId="11">
    <w:abstractNumId w:val="39"/>
  </w:num>
  <w:num w:numId="12">
    <w:abstractNumId w:val="5"/>
  </w:num>
  <w:num w:numId="13">
    <w:abstractNumId w:val="7"/>
  </w:num>
  <w:num w:numId="14">
    <w:abstractNumId w:val="18"/>
  </w:num>
  <w:num w:numId="15">
    <w:abstractNumId w:val="32"/>
  </w:num>
  <w:num w:numId="16">
    <w:abstractNumId w:val="6"/>
  </w:num>
  <w:num w:numId="17">
    <w:abstractNumId w:val="3"/>
  </w:num>
  <w:num w:numId="18">
    <w:abstractNumId w:val="10"/>
  </w:num>
  <w:num w:numId="19">
    <w:abstractNumId w:val="29"/>
  </w:num>
  <w:num w:numId="20">
    <w:abstractNumId w:val="22"/>
  </w:num>
  <w:num w:numId="21">
    <w:abstractNumId w:val="25"/>
  </w:num>
  <w:num w:numId="22">
    <w:abstractNumId w:val="34"/>
  </w:num>
  <w:num w:numId="23">
    <w:abstractNumId w:val="4"/>
  </w:num>
  <w:num w:numId="24">
    <w:abstractNumId w:val="33"/>
  </w:num>
  <w:num w:numId="25">
    <w:abstractNumId w:val="40"/>
  </w:num>
  <w:num w:numId="26">
    <w:abstractNumId w:val="17"/>
  </w:num>
  <w:num w:numId="27">
    <w:abstractNumId w:val="35"/>
  </w:num>
  <w:num w:numId="28">
    <w:abstractNumId w:val="24"/>
  </w:num>
  <w:num w:numId="29">
    <w:abstractNumId w:val="1"/>
  </w:num>
  <w:num w:numId="30">
    <w:abstractNumId w:val="1"/>
  </w:num>
  <w:num w:numId="31">
    <w:abstractNumId w:val="30"/>
  </w:num>
  <w:num w:numId="32">
    <w:abstractNumId w:val="20"/>
  </w:num>
  <w:num w:numId="33">
    <w:abstractNumId w:val="9"/>
  </w:num>
  <w:num w:numId="34">
    <w:abstractNumId w:val="41"/>
  </w:num>
  <w:num w:numId="35">
    <w:abstractNumId w:val="36"/>
  </w:num>
  <w:num w:numId="36">
    <w:abstractNumId w:val="0"/>
  </w:num>
  <w:num w:numId="37">
    <w:abstractNumId w:val="23"/>
  </w:num>
  <w:num w:numId="38">
    <w:abstractNumId w:val="26"/>
  </w:num>
  <w:num w:numId="39">
    <w:abstractNumId w:val="14"/>
  </w:num>
  <w:num w:numId="40">
    <w:abstractNumId w:val="21"/>
  </w:num>
  <w:num w:numId="41">
    <w:abstractNumId w:val="1"/>
  </w:num>
  <w:num w:numId="42">
    <w:abstractNumId w:val="13"/>
  </w:num>
  <w:num w:numId="43">
    <w:abstractNumId w:val="27"/>
  </w:num>
  <w:num w:numId="44">
    <w:abstractNumId w:val="2"/>
  </w:num>
  <w:num w:numId="45">
    <w:abstractNumId w:val="37"/>
  </w:num>
  <w:num w:numId="46">
    <w:abstractNumId w:val="8"/>
  </w:num>
  <w:num w:numId="47">
    <w:abstractNumId w:val="8"/>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42A0"/>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4DA4"/>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058B"/>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960"/>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280F"/>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5064"/>
    <w:rsid w:val="00356081"/>
    <w:rsid w:val="0035706B"/>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D7D"/>
    <w:rsid w:val="003816E1"/>
    <w:rsid w:val="00383467"/>
    <w:rsid w:val="00384177"/>
    <w:rsid w:val="00384284"/>
    <w:rsid w:val="00385770"/>
    <w:rsid w:val="00385932"/>
    <w:rsid w:val="003859C1"/>
    <w:rsid w:val="00385BF0"/>
    <w:rsid w:val="003861C1"/>
    <w:rsid w:val="00386578"/>
    <w:rsid w:val="0038722E"/>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0EF"/>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1C9"/>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380"/>
    <w:rsid w:val="004C4662"/>
    <w:rsid w:val="004C5EE9"/>
    <w:rsid w:val="004C61A8"/>
    <w:rsid w:val="004C6A7A"/>
    <w:rsid w:val="004C6D2F"/>
    <w:rsid w:val="004C6D4F"/>
    <w:rsid w:val="004C6ED8"/>
    <w:rsid w:val="004C72BF"/>
    <w:rsid w:val="004C77F7"/>
    <w:rsid w:val="004D06BB"/>
    <w:rsid w:val="004D2254"/>
    <w:rsid w:val="004D2773"/>
    <w:rsid w:val="004D36B1"/>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23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D52"/>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2D55"/>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50F"/>
    <w:rsid w:val="005E385F"/>
    <w:rsid w:val="005E4663"/>
    <w:rsid w:val="005E4FCF"/>
    <w:rsid w:val="005E53B7"/>
    <w:rsid w:val="005E5895"/>
    <w:rsid w:val="005E5B81"/>
    <w:rsid w:val="005E6492"/>
    <w:rsid w:val="005F0FA6"/>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94"/>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142B"/>
    <w:rsid w:val="006D305F"/>
    <w:rsid w:val="006D351A"/>
    <w:rsid w:val="006D4C5B"/>
    <w:rsid w:val="006D5CE4"/>
    <w:rsid w:val="006D5FB2"/>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5BB5"/>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4D9A"/>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374"/>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07"/>
    <w:rsid w:val="008D75E7"/>
    <w:rsid w:val="008E07F9"/>
    <w:rsid w:val="008E0927"/>
    <w:rsid w:val="008E0DC8"/>
    <w:rsid w:val="008E10C0"/>
    <w:rsid w:val="008E1909"/>
    <w:rsid w:val="008E2A65"/>
    <w:rsid w:val="008E3000"/>
    <w:rsid w:val="008E30B6"/>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18D"/>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37A96"/>
    <w:rsid w:val="00940C00"/>
    <w:rsid w:val="00941636"/>
    <w:rsid w:val="00942743"/>
    <w:rsid w:val="00942D57"/>
    <w:rsid w:val="009433F1"/>
    <w:rsid w:val="009436AF"/>
    <w:rsid w:val="00943742"/>
    <w:rsid w:val="00943A35"/>
    <w:rsid w:val="00944281"/>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14E"/>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2FDA"/>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530C"/>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59C"/>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E4E"/>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6CE"/>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1E3"/>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7D6"/>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76D"/>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234"/>
    <w:rsid w:val="00D96586"/>
    <w:rsid w:val="00D977E9"/>
    <w:rsid w:val="00D97931"/>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4A12"/>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174"/>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0E3A"/>
    <w:rsid w:val="00E21293"/>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55F4"/>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236C"/>
    <w:rsid w:val="00F13316"/>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3AE"/>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5CF9"/>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31C"/>
    <w:rsid w:val="00FD1EC8"/>
    <w:rsid w:val="00FD2077"/>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06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550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06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paragraph" w:customStyle="1" w:styleId="LGTdoc">
    <w:name w:val="LGTdoc_본문"/>
    <w:basedOn w:val="Normal"/>
    <w:rsid w:val="006B5694"/>
    <w:pPr>
      <w:widowControl w:val="0"/>
      <w:autoSpaceDE w:val="0"/>
      <w:autoSpaceDN w:val="0"/>
      <w:adjustRightInd w:val="0"/>
      <w:snapToGrid w:val="0"/>
      <w:spacing w:after="0" w:line="264" w:lineRule="auto"/>
      <w:jc w:val="both"/>
    </w:pPr>
    <w:rPr>
      <w:rFonts w:ascii="Times New Roman" w:eastAsia="Batang" w:hAnsi="Times New Roman" w:cs="Times New Roman"/>
      <w:kern w:val="2"/>
      <w:szCs w:val="24"/>
      <w:lang w:val="en-GB" w:eastAsia="ko-KR"/>
    </w:rPr>
  </w:style>
  <w:style w:type="table" w:customStyle="1" w:styleId="TableGrid6">
    <w:name w:val="Table Grid6"/>
    <w:basedOn w:val="TableNormal"/>
    <w:next w:val="TableGrid"/>
    <w:uiPriority w:val="59"/>
    <w:rsid w:val="00E2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0693748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446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5D03A-EB8D-40CE-8B49-AD24AE69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2016-08-12T20:06:00Z</dcterms:modified>
  <cp:category/>
</cp:coreProperties>
</file>